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4C42" w14:textId="77777777" w:rsidR="00B53D74" w:rsidRDefault="00B53D74" w:rsidP="00B53D74">
      <w:pPr>
        <w:pStyle w:val="NormalWeb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ptos" w:hAnsi="Aptos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3547C5C3" wp14:editId="1D7AA04F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1000125" cy="664845"/>
            <wp:effectExtent l="0" t="0" r="9525" b="1905"/>
            <wp:wrapSquare wrapText="bothSides"/>
            <wp:docPr id="3" name="Imagen 3" descr="Bandera de Puerto R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era de Puerto R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0012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2"/>
          <w:szCs w:val="22"/>
          <w:lang w:val="es-ES"/>
        </w:rPr>
        <w:t xml:space="preserve">      </w:t>
      </w:r>
    </w:p>
    <w:p w14:paraId="486878B0" w14:textId="77777777" w:rsidR="00B53D74" w:rsidRDefault="00B53D74" w:rsidP="00B53D74">
      <w:pPr>
        <w:pStyle w:val="NormalWeb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6AEAC363" w14:textId="77777777" w:rsidR="00B53D74" w:rsidRDefault="00B53D74" w:rsidP="00B53D74">
      <w:pPr>
        <w:pStyle w:val="NormalWeb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4B56A9CC" w14:textId="38CB3842" w:rsidR="00B53D74" w:rsidRPr="009D1579" w:rsidRDefault="00B53D74" w:rsidP="00B53D74">
      <w:pPr>
        <w:pStyle w:val="NormalWeb"/>
        <w:spacing w:before="0" w:beforeAutospacing="0" w:after="0" w:afterAutospacing="0"/>
        <w:ind w:left="3828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9D1579">
        <w:rPr>
          <w:rFonts w:ascii="Arial" w:hAnsi="Arial" w:cs="Arial"/>
          <w:noProof/>
          <w:color w:val="000000"/>
          <w:sz w:val="20"/>
          <w:szCs w:val="20"/>
          <w:lang w:val="es-ES"/>
        </w:rPr>
        <w:drawing>
          <wp:anchor distT="0" distB="0" distL="114300" distR="114300" simplePos="0" relativeHeight="251660288" behindDoc="0" locked="0" layoutInCell="1" allowOverlap="1" wp14:anchorId="0464C1B5" wp14:editId="7499A920">
            <wp:simplePos x="0" y="0"/>
            <wp:positionH relativeFrom="column">
              <wp:posOffset>171450</wp:posOffset>
            </wp:positionH>
            <wp:positionV relativeFrom="paragraph">
              <wp:posOffset>100330</wp:posOffset>
            </wp:positionV>
            <wp:extent cx="1171575" cy="487680"/>
            <wp:effectExtent l="0" t="0" r="9525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579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PUERTO RICO</w:t>
      </w:r>
    </w:p>
    <w:p w14:paraId="56BCC243" w14:textId="7E154027" w:rsidR="00B53D74" w:rsidRPr="009D1579" w:rsidRDefault="00B53D74" w:rsidP="00B53D74">
      <w:pPr>
        <w:pStyle w:val="NormalWeb"/>
        <w:spacing w:before="0" w:beforeAutospacing="0" w:after="0" w:afterAutospacing="0"/>
        <w:ind w:left="1134"/>
        <w:textAlignment w:val="baseline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2275654D" w14:textId="00B80A26" w:rsidR="00B53D74" w:rsidRPr="009D1579" w:rsidRDefault="00B53D74" w:rsidP="00B53D74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9D1579">
        <w:rPr>
          <w:rFonts w:ascii="Arial" w:hAnsi="Arial" w:cs="Arial"/>
          <w:color w:val="000000"/>
          <w:sz w:val="20"/>
          <w:szCs w:val="20"/>
          <w:lang w:val="es-ES"/>
        </w:rPr>
        <w:t xml:space="preserve">  </w:t>
      </w:r>
      <w:r w:rsidRPr="009D1579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UNIVERSIDAD DE PUERTO RICO, ESCUELA DE FARMACIA</w:t>
      </w:r>
    </w:p>
    <w:p w14:paraId="0CBBF01A" w14:textId="5A1D802E" w:rsidR="00B53D74" w:rsidRPr="009D1579" w:rsidRDefault="00B53D74" w:rsidP="00B53D74">
      <w:pPr>
        <w:pStyle w:val="NormalWeb"/>
        <w:spacing w:before="0" w:beforeAutospacing="0" w:after="0" w:afterAutospacing="0"/>
        <w:ind w:left="2694"/>
        <w:textAlignment w:val="baseline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09AC8FCF" w14:textId="35A6AA45" w:rsidR="00903522" w:rsidRPr="009D1579" w:rsidRDefault="00B53D74" w:rsidP="00B53D74">
      <w:pPr>
        <w:ind w:left="2410"/>
        <w:rPr>
          <w:rFonts w:ascii="Arial" w:hAnsi="Arial" w:cs="Arial"/>
          <w:b/>
          <w:bCs/>
          <w:sz w:val="20"/>
          <w:szCs w:val="20"/>
        </w:rPr>
      </w:pPr>
      <w:r w:rsidRPr="009D1579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D36738F" wp14:editId="76EAA985">
            <wp:simplePos x="0" y="0"/>
            <wp:positionH relativeFrom="column">
              <wp:posOffset>-3810</wp:posOffset>
            </wp:positionH>
            <wp:positionV relativeFrom="paragraph">
              <wp:posOffset>36195</wp:posOffset>
            </wp:positionV>
            <wp:extent cx="1428750" cy="1390650"/>
            <wp:effectExtent l="0" t="0" r="0" b="0"/>
            <wp:wrapSquare wrapText="bothSides"/>
            <wp:docPr id="1041010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486"/>
                    <a:stretch/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5EF" w:rsidRPr="009D1579">
        <w:rPr>
          <w:rFonts w:ascii="Arial" w:hAnsi="Arial" w:cs="Arial"/>
          <w:b/>
          <w:bCs/>
          <w:sz w:val="20"/>
          <w:szCs w:val="20"/>
        </w:rPr>
        <w:t>Kyle Melin</w:t>
      </w:r>
    </w:p>
    <w:p w14:paraId="2B0A041F" w14:textId="5BCD3D9E" w:rsidR="00E43599" w:rsidRPr="00B53D74" w:rsidRDefault="00B736DB" w:rsidP="00B53D74">
      <w:pPr>
        <w:ind w:left="2410"/>
        <w:jc w:val="both"/>
        <w:rPr>
          <w:rFonts w:ascii="Arial" w:hAnsi="Arial" w:cs="Arial"/>
          <w:sz w:val="20"/>
          <w:szCs w:val="20"/>
        </w:rPr>
      </w:pPr>
      <w:r w:rsidRPr="00B53D74">
        <w:rPr>
          <w:rFonts w:ascii="Arial" w:hAnsi="Arial" w:cs="Arial"/>
          <w:sz w:val="20"/>
          <w:szCs w:val="20"/>
        </w:rPr>
        <w:t xml:space="preserve">Kyle Melin es Profesor de Práctica Farmacéutica en la Escuela de Farmacia del Recinto de Ciencias Médicas de la Universidad de Puerto Rico. Es farmacéutico clínico en ejercicio e investigador en los campos de la farmacogenómica, los trastornos por uso de sustancias y la provisión de atención a minorías sexuales y de género. Cuenta con nombramientos conjuntos con la Alianza Nacional para la Salud Hispana como Senior </w:t>
      </w:r>
      <w:proofErr w:type="spellStart"/>
      <w:r w:rsidRPr="00B53D74">
        <w:rPr>
          <w:rFonts w:ascii="Arial" w:hAnsi="Arial" w:cs="Arial"/>
          <w:sz w:val="20"/>
          <w:szCs w:val="20"/>
        </w:rPr>
        <w:t>Policy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53D74">
        <w:rPr>
          <w:rFonts w:ascii="Arial" w:hAnsi="Arial" w:cs="Arial"/>
          <w:sz w:val="20"/>
          <w:szCs w:val="20"/>
        </w:rPr>
        <w:t>Research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D74">
        <w:rPr>
          <w:rFonts w:ascii="Arial" w:hAnsi="Arial" w:cs="Arial"/>
          <w:sz w:val="20"/>
          <w:szCs w:val="20"/>
        </w:rPr>
        <w:t>Fellow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, así como con el </w:t>
      </w:r>
      <w:proofErr w:type="spellStart"/>
      <w:r w:rsidRPr="00B53D74">
        <w:rPr>
          <w:rFonts w:ascii="Arial" w:hAnsi="Arial" w:cs="Arial"/>
          <w:sz w:val="20"/>
          <w:szCs w:val="20"/>
        </w:rPr>
        <w:t>University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D74">
        <w:rPr>
          <w:rFonts w:ascii="Arial" w:hAnsi="Arial" w:cs="Arial"/>
          <w:sz w:val="20"/>
          <w:szCs w:val="20"/>
        </w:rPr>
        <w:t>College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D74">
        <w:rPr>
          <w:rFonts w:ascii="Arial" w:hAnsi="Arial" w:cs="Arial"/>
          <w:sz w:val="20"/>
          <w:szCs w:val="20"/>
        </w:rPr>
        <w:t>Dublin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, donde se desempeña como profesor asociado visitante y becario </w:t>
      </w:r>
      <w:proofErr w:type="spellStart"/>
      <w:r w:rsidRPr="00B53D74">
        <w:rPr>
          <w:rFonts w:ascii="Arial" w:hAnsi="Arial" w:cs="Arial"/>
          <w:sz w:val="20"/>
          <w:szCs w:val="20"/>
        </w:rPr>
        <w:t>Fulbright</w:t>
      </w:r>
      <w:proofErr w:type="spellEnd"/>
      <w:r w:rsidRPr="00B53D74">
        <w:rPr>
          <w:rFonts w:ascii="Arial" w:hAnsi="Arial" w:cs="Arial"/>
          <w:sz w:val="20"/>
          <w:szCs w:val="20"/>
        </w:rPr>
        <w:t>.</w:t>
      </w:r>
      <w:r w:rsidR="00B53D74" w:rsidRPr="00B53D7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B53D74" w:rsidRPr="00B53D74">
          <w:rPr>
            <w:rStyle w:val="Hipervnculo"/>
            <w:rFonts w:ascii="Arial" w:hAnsi="Arial" w:cs="Arial"/>
            <w:sz w:val="20"/>
            <w:szCs w:val="20"/>
          </w:rPr>
          <w:t>kyle.melin@upr.edu</w:t>
        </w:r>
      </w:hyperlink>
    </w:p>
    <w:p w14:paraId="271735A2" w14:textId="55DEED5C" w:rsidR="00903522" w:rsidRPr="00B53D74" w:rsidRDefault="00903522" w:rsidP="00B53D74">
      <w:pPr>
        <w:jc w:val="center"/>
        <w:rPr>
          <w:rFonts w:ascii="Arial" w:hAnsi="Arial" w:cs="Arial"/>
          <w:b/>
          <w:sz w:val="20"/>
          <w:szCs w:val="20"/>
        </w:rPr>
      </w:pPr>
      <w:r w:rsidRPr="00B53D74">
        <w:rPr>
          <w:rFonts w:ascii="Arial" w:hAnsi="Arial" w:cs="Arial"/>
          <w:b/>
          <w:sz w:val="20"/>
          <w:szCs w:val="20"/>
        </w:rPr>
        <w:t>PROYECTOS</w:t>
      </w:r>
    </w:p>
    <w:p w14:paraId="40714C09" w14:textId="1728899A" w:rsidR="00903522" w:rsidRPr="00B53D74" w:rsidRDefault="00903522" w:rsidP="00B53D74">
      <w:pPr>
        <w:pStyle w:val="Prrafodelista"/>
        <w:ind w:left="709"/>
        <w:rPr>
          <w:rFonts w:ascii="Arial" w:hAnsi="Arial" w:cs="Arial"/>
          <w:b/>
          <w:sz w:val="20"/>
          <w:szCs w:val="20"/>
        </w:rPr>
      </w:pPr>
      <w:r w:rsidRPr="00B53D74">
        <w:rPr>
          <w:rFonts w:ascii="Arial" w:hAnsi="Arial" w:cs="Arial"/>
          <w:b/>
          <w:sz w:val="20"/>
          <w:szCs w:val="20"/>
        </w:rPr>
        <w:t>En preparación:</w:t>
      </w:r>
    </w:p>
    <w:p w14:paraId="1D28542C" w14:textId="331F4CB3" w:rsidR="00FB1E89" w:rsidRPr="00B53D74" w:rsidRDefault="00FB1E89" w:rsidP="00B53D74">
      <w:pPr>
        <w:pStyle w:val="Prrafodelista"/>
        <w:numPr>
          <w:ilvl w:val="1"/>
          <w:numId w:val="5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Pharmacogenomic Impact of CYP2D6 and CYP2C9 Variants on ADEs and Acute Hospital-Based Care in Hispanic/Latino Adults</w:t>
      </w:r>
    </w:p>
    <w:p w14:paraId="557EDA59" w14:textId="77777777" w:rsidR="00903522" w:rsidRPr="00B53D74" w:rsidRDefault="00903522" w:rsidP="00B53D74">
      <w:pPr>
        <w:pStyle w:val="Prrafodelista"/>
        <w:ind w:left="709"/>
        <w:rPr>
          <w:rFonts w:ascii="Arial" w:hAnsi="Arial" w:cs="Arial"/>
          <w:b/>
          <w:bCs/>
          <w:sz w:val="20"/>
          <w:szCs w:val="20"/>
        </w:rPr>
      </w:pPr>
      <w:r w:rsidRPr="00B53D74">
        <w:rPr>
          <w:rFonts w:ascii="Arial" w:hAnsi="Arial" w:cs="Arial"/>
          <w:b/>
          <w:bCs/>
          <w:sz w:val="20"/>
          <w:szCs w:val="20"/>
        </w:rPr>
        <w:t>En desarrollo</w:t>
      </w:r>
    </w:p>
    <w:p w14:paraId="5C1FE3B9" w14:textId="41E46A2B" w:rsidR="00772C41" w:rsidRPr="00B53D74" w:rsidRDefault="00772C41" w:rsidP="00B53D74">
      <w:pPr>
        <w:pStyle w:val="Prrafodelista"/>
        <w:numPr>
          <w:ilvl w:val="1"/>
          <w:numId w:val="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Association of Social Determinants of Health with Opioid Misuse Among Individuals with Common Psychiatric Conditions</w:t>
      </w:r>
    </w:p>
    <w:p w14:paraId="4E523410" w14:textId="73615B4F" w:rsidR="009809C7" w:rsidRPr="00B53D74" w:rsidRDefault="009809C7" w:rsidP="00B53D74">
      <w:pPr>
        <w:pStyle w:val="Prrafodelista"/>
        <w:numPr>
          <w:ilvl w:val="1"/>
          <w:numId w:val="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Identification of risk and protective factors for co-occurrence of substance use disorders and major depressive disorder in people aged 18 years and older living in the United States.</w:t>
      </w:r>
    </w:p>
    <w:p w14:paraId="71C8F23B" w14:textId="3751E736" w:rsidR="008A204F" w:rsidRPr="00B53D74" w:rsidRDefault="008A204F" w:rsidP="00B53D74">
      <w:pPr>
        <w:pStyle w:val="Prrafodelista"/>
        <w:numPr>
          <w:ilvl w:val="1"/>
          <w:numId w:val="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Developing a personalized medicine community-based research agenda in Ireland.</w:t>
      </w:r>
    </w:p>
    <w:p w14:paraId="010D6140" w14:textId="34DD9F96" w:rsidR="002777FA" w:rsidRPr="00B53D74" w:rsidRDefault="002777FA" w:rsidP="00B53D74">
      <w:pPr>
        <w:pStyle w:val="Prrafodelista"/>
        <w:numPr>
          <w:ilvl w:val="1"/>
          <w:numId w:val="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Developing personalized medicine approaches to treating Opioid Use Disorder</w:t>
      </w:r>
    </w:p>
    <w:p w14:paraId="78CE6848" w14:textId="284ECE1C" w:rsidR="00F54586" w:rsidRPr="00B53D74" w:rsidRDefault="00F54586" w:rsidP="00B53D74">
      <w:pPr>
        <w:pStyle w:val="Prrafodelista"/>
        <w:numPr>
          <w:ilvl w:val="1"/>
          <w:numId w:val="6"/>
        </w:numPr>
        <w:ind w:left="709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Community pharmacy-based immunization programs.</w:t>
      </w:r>
    </w:p>
    <w:p w14:paraId="7E8B6371" w14:textId="3C34702F" w:rsidR="00903522" w:rsidRPr="00B53D74" w:rsidRDefault="00903522" w:rsidP="00B53D74">
      <w:pPr>
        <w:jc w:val="center"/>
        <w:rPr>
          <w:rFonts w:ascii="Arial" w:hAnsi="Arial" w:cs="Arial"/>
          <w:b/>
          <w:sz w:val="20"/>
          <w:szCs w:val="20"/>
        </w:rPr>
      </w:pPr>
      <w:r w:rsidRPr="00B53D74">
        <w:rPr>
          <w:rFonts w:ascii="Arial" w:hAnsi="Arial" w:cs="Arial"/>
          <w:b/>
          <w:sz w:val="20"/>
          <w:szCs w:val="20"/>
        </w:rPr>
        <w:t>PUBLICACIONES</w:t>
      </w:r>
    </w:p>
    <w:p w14:paraId="6D4A4CDF" w14:textId="68393D1E" w:rsidR="00B53D74" w:rsidRPr="00B53D74" w:rsidRDefault="00502B7B" w:rsidP="00B53D74">
      <w:pPr>
        <w:pStyle w:val="Prrafodelista"/>
        <w:numPr>
          <w:ilvl w:val="1"/>
          <w:numId w:val="7"/>
        </w:numPr>
        <w:ind w:left="709"/>
        <w:jc w:val="both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 xml:space="preserve">Rodríguez Nazario I, </w:t>
      </w:r>
      <w:proofErr w:type="spellStart"/>
      <w:r w:rsidRPr="00B53D74">
        <w:rPr>
          <w:rFonts w:ascii="Arial" w:hAnsi="Arial" w:cs="Arial"/>
          <w:sz w:val="20"/>
          <w:szCs w:val="20"/>
          <w:lang w:val="en-US"/>
        </w:rPr>
        <w:t>Vilá</w:t>
      </w:r>
      <w:proofErr w:type="spellEnd"/>
      <w:r w:rsidRPr="00B53D74">
        <w:rPr>
          <w:rFonts w:ascii="Arial" w:hAnsi="Arial" w:cs="Arial"/>
          <w:sz w:val="20"/>
          <w:szCs w:val="20"/>
          <w:lang w:val="en-US"/>
        </w:rPr>
        <w:t xml:space="preserve"> LM, </w:t>
      </w:r>
      <w:proofErr w:type="spellStart"/>
      <w:r w:rsidRPr="00B53D74">
        <w:rPr>
          <w:rFonts w:ascii="Arial" w:hAnsi="Arial" w:cs="Arial"/>
          <w:sz w:val="20"/>
          <w:szCs w:val="20"/>
          <w:lang w:val="en-US"/>
        </w:rPr>
        <w:t>Melin</w:t>
      </w:r>
      <w:proofErr w:type="spellEnd"/>
      <w:r w:rsidRPr="00B53D74">
        <w:rPr>
          <w:rFonts w:ascii="Arial" w:hAnsi="Arial" w:cs="Arial"/>
          <w:sz w:val="20"/>
          <w:szCs w:val="20"/>
          <w:lang w:val="en-US"/>
        </w:rPr>
        <w:t xml:space="preserve"> K. Feasibility and acceptability of incorporating telemedicine into pharmacy services in the rheumatology clinics of the School of Medicine of the University of Puerto Rico. Am J Health Syst Pharm. 2025 Nov 12;(zxaf311</w:t>
      </w:r>
      <w:proofErr w:type="gramStart"/>
      <w:r w:rsidRPr="00B53D74">
        <w:rPr>
          <w:rFonts w:ascii="Arial" w:hAnsi="Arial" w:cs="Arial"/>
          <w:sz w:val="20"/>
          <w:szCs w:val="20"/>
          <w:lang w:val="en-US"/>
        </w:rPr>
        <w:t>):zxaf</w:t>
      </w:r>
      <w:proofErr w:type="gramEnd"/>
      <w:r w:rsidRPr="00B53D74">
        <w:rPr>
          <w:rFonts w:ascii="Arial" w:hAnsi="Arial" w:cs="Arial"/>
          <w:sz w:val="20"/>
          <w:szCs w:val="20"/>
          <w:lang w:val="en-US"/>
        </w:rPr>
        <w:t>311.</w:t>
      </w:r>
    </w:p>
    <w:p w14:paraId="096F7BCA" w14:textId="29D06A43" w:rsidR="00B53D74" w:rsidRPr="00B53D74" w:rsidRDefault="00502B7B" w:rsidP="00B53D74">
      <w:pPr>
        <w:pStyle w:val="Prrafodelista"/>
        <w:numPr>
          <w:ilvl w:val="1"/>
          <w:numId w:val="7"/>
        </w:numPr>
        <w:ind w:left="709"/>
        <w:jc w:val="both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>Badillo-Salcedo J, Vélez-Jiménez GM, Rosado-Martínez EG, Melin K, Hernández-Agosto J. The relationship between Technology Use and Medication Access in older adults in Puerto Rico. Int J Environ Res Public Health. 2025 Oct 7;22(10):1534.</w:t>
      </w:r>
    </w:p>
    <w:p w14:paraId="6E7D1237" w14:textId="027A20FB" w:rsidR="00502B7B" w:rsidRDefault="00502B7B" w:rsidP="00B53D74">
      <w:pPr>
        <w:pStyle w:val="Prrafodelista"/>
        <w:numPr>
          <w:ilvl w:val="1"/>
          <w:numId w:val="7"/>
        </w:numPr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B53D74">
        <w:rPr>
          <w:rFonts w:ascii="Arial" w:hAnsi="Arial" w:cs="Arial"/>
          <w:sz w:val="20"/>
          <w:szCs w:val="20"/>
        </w:rPr>
        <w:t>Bruxel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EM, </w:t>
      </w:r>
      <w:proofErr w:type="spellStart"/>
      <w:r w:rsidRPr="00B53D74">
        <w:rPr>
          <w:rFonts w:ascii="Arial" w:hAnsi="Arial" w:cs="Arial"/>
          <w:sz w:val="20"/>
          <w:szCs w:val="20"/>
        </w:rPr>
        <w:t>Rovaris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DL, </w:t>
      </w:r>
      <w:proofErr w:type="spellStart"/>
      <w:r w:rsidRPr="00B53D74">
        <w:rPr>
          <w:rFonts w:ascii="Arial" w:hAnsi="Arial" w:cs="Arial"/>
          <w:sz w:val="20"/>
          <w:szCs w:val="20"/>
        </w:rPr>
        <w:t>Belangero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SI, Chavarría-Soley G, Cuellar-Barboza AB, Martínez-Magaña JJ, et al. </w:t>
      </w:r>
      <w:r w:rsidRPr="00B53D74">
        <w:rPr>
          <w:rFonts w:ascii="Arial" w:hAnsi="Arial" w:cs="Arial"/>
          <w:sz w:val="20"/>
          <w:szCs w:val="20"/>
          <w:lang w:val="en-US"/>
        </w:rPr>
        <w:t xml:space="preserve">Psychiatric genetics in the diverse landscape of Latin American populations. </w:t>
      </w:r>
      <w:proofErr w:type="spellStart"/>
      <w:r w:rsidRPr="00B53D74">
        <w:rPr>
          <w:rFonts w:ascii="Arial" w:hAnsi="Arial" w:cs="Arial"/>
          <w:sz w:val="20"/>
          <w:szCs w:val="20"/>
        </w:rPr>
        <w:t>Nature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D74">
        <w:rPr>
          <w:rFonts w:ascii="Arial" w:hAnsi="Arial" w:cs="Arial"/>
          <w:sz w:val="20"/>
          <w:szCs w:val="20"/>
        </w:rPr>
        <w:t>Genetics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. 2025 </w:t>
      </w:r>
      <w:proofErr w:type="spellStart"/>
      <w:r w:rsidRPr="00B53D74">
        <w:rPr>
          <w:rFonts w:ascii="Arial" w:hAnsi="Arial" w:cs="Arial"/>
          <w:sz w:val="20"/>
          <w:szCs w:val="20"/>
        </w:rPr>
        <w:t>Apr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2;1–15.</w:t>
      </w:r>
    </w:p>
    <w:p w14:paraId="107B929E" w14:textId="77777777" w:rsidR="00B53D74" w:rsidRPr="00B53D74" w:rsidRDefault="00B53D74" w:rsidP="00B53D74">
      <w:pPr>
        <w:pStyle w:val="Prrafodelista"/>
        <w:ind w:left="709"/>
        <w:jc w:val="both"/>
        <w:rPr>
          <w:rFonts w:ascii="Arial" w:hAnsi="Arial" w:cs="Arial"/>
          <w:sz w:val="20"/>
          <w:szCs w:val="20"/>
        </w:rPr>
      </w:pPr>
    </w:p>
    <w:p w14:paraId="0A6C9B76" w14:textId="05EA527C" w:rsidR="00B53D74" w:rsidRPr="00B53D74" w:rsidRDefault="00502B7B" w:rsidP="00B53D74">
      <w:pPr>
        <w:pStyle w:val="Prrafodelista"/>
        <w:numPr>
          <w:ilvl w:val="1"/>
          <w:numId w:val="7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53D74">
        <w:rPr>
          <w:rFonts w:ascii="Arial" w:hAnsi="Arial" w:cs="Arial"/>
          <w:sz w:val="20"/>
          <w:szCs w:val="20"/>
        </w:rPr>
        <w:t xml:space="preserve">Yang G, González P, Moneró M, Carrasquillo K, Renta JY, Hernandez-Suarez DF, et al. </w:t>
      </w:r>
      <w:r w:rsidRPr="00B53D74">
        <w:rPr>
          <w:rFonts w:ascii="Arial" w:hAnsi="Arial" w:cs="Arial"/>
          <w:sz w:val="20"/>
          <w:szCs w:val="20"/>
          <w:lang w:val="en-US"/>
        </w:rPr>
        <w:t xml:space="preserve">Discovery of ancestry-specific variants associated with clopidogrel response among Caribbean Hispanics. </w:t>
      </w:r>
      <w:r w:rsidRPr="00B53D74">
        <w:rPr>
          <w:rFonts w:ascii="Arial" w:hAnsi="Arial" w:cs="Arial"/>
          <w:sz w:val="20"/>
          <w:szCs w:val="20"/>
        </w:rPr>
        <w:t xml:space="preserve">NPJ </w:t>
      </w:r>
      <w:proofErr w:type="spellStart"/>
      <w:r w:rsidRPr="00B53D74">
        <w:rPr>
          <w:rFonts w:ascii="Arial" w:hAnsi="Arial" w:cs="Arial"/>
          <w:sz w:val="20"/>
          <w:szCs w:val="20"/>
        </w:rPr>
        <w:t>Genom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D74">
        <w:rPr>
          <w:rFonts w:ascii="Arial" w:hAnsi="Arial" w:cs="Arial"/>
          <w:sz w:val="20"/>
          <w:szCs w:val="20"/>
        </w:rPr>
        <w:t>Med</w:t>
      </w:r>
      <w:proofErr w:type="spellEnd"/>
      <w:r w:rsidRPr="00B53D74">
        <w:rPr>
          <w:rFonts w:ascii="Arial" w:hAnsi="Arial" w:cs="Arial"/>
          <w:sz w:val="20"/>
          <w:szCs w:val="20"/>
        </w:rPr>
        <w:t>. 2025 Mar 7;10(1):1–12.</w:t>
      </w:r>
    </w:p>
    <w:p w14:paraId="521A7C4E" w14:textId="7E2C879A" w:rsidR="00502B7B" w:rsidRPr="00B53D74" w:rsidRDefault="00502B7B" w:rsidP="00B53D74">
      <w:pPr>
        <w:pStyle w:val="Prrafodelista"/>
        <w:numPr>
          <w:ilvl w:val="1"/>
          <w:numId w:val="7"/>
        </w:numPr>
        <w:ind w:left="709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B53D74">
        <w:rPr>
          <w:rFonts w:ascii="Arial" w:hAnsi="Arial" w:cs="Arial"/>
          <w:sz w:val="20"/>
          <w:szCs w:val="20"/>
        </w:rPr>
        <w:t>Nuñez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-Medina HJ, Monero M, Torres LM, Leal E, </w:t>
      </w:r>
      <w:proofErr w:type="spellStart"/>
      <w:r w:rsidRPr="00B53D74">
        <w:rPr>
          <w:rFonts w:ascii="Arial" w:hAnsi="Arial" w:cs="Arial"/>
          <w:sz w:val="20"/>
          <w:szCs w:val="20"/>
        </w:rPr>
        <w:t>Gonzalez-Sepulveda</w:t>
      </w:r>
      <w:proofErr w:type="spellEnd"/>
      <w:r w:rsidRPr="00B53D74">
        <w:rPr>
          <w:rFonts w:ascii="Arial" w:hAnsi="Arial" w:cs="Arial"/>
          <w:sz w:val="20"/>
          <w:szCs w:val="20"/>
        </w:rPr>
        <w:t xml:space="preserve"> L, Mayor ÁM, et al. </w:t>
      </w:r>
      <w:r w:rsidRPr="00B53D74">
        <w:rPr>
          <w:rFonts w:ascii="Arial" w:hAnsi="Arial" w:cs="Arial"/>
          <w:sz w:val="20"/>
          <w:szCs w:val="20"/>
          <w:lang w:val="en-US"/>
        </w:rPr>
        <w:t>Implementing a pharmacogenomic-driven algorithm to guide antiplatelet therapy among Caribbean Hispanics: a non-</w:t>
      </w:r>
      <w:proofErr w:type="spellStart"/>
      <w:r w:rsidRPr="00B53D74">
        <w:rPr>
          <w:rFonts w:ascii="Arial" w:hAnsi="Arial" w:cs="Arial"/>
          <w:sz w:val="20"/>
          <w:szCs w:val="20"/>
          <w:lang w:val="en-US"/>
        </w:rPr>
        <w:t>randomised</w:t>
      </w:r>
      <w:proofErr w:type="spellEnd"/>
      <w:r w:rsidRPr="00B53D74">
        <w:rPr>
          <w:rFonts w:ascii="Arial" w:hAnsi="Arial" w:cs="Arial"/>
          <w:sz w:val="20"/>
          <w:szCs w:val="20"/>
          <w:lang w:val="en-US"/>
        </w:rPr>
        <w:t xml:space="preserve"> clinical trial. BMJ Open. 2024 Sept 5;14(9</w:t>
      </w:r>
      <w:proofErr w:type="gramStart"/>
      <w:r w:rsidRPr="00B53D74">
        <w:rPr>
          <w:rFonts w:ascii="Arial" w:hAnsi="Arial" w:cs="Arial"/>
          <w:sz w:val="20"/>
          <w:szCs w:val="20"/>
          <w:lang w:val="en-US"/>
        </w:rPr>
        <w:t>):e</w:t>
      </w:r>
      <w:proofErr w:type="gramEnd"/>
      <w:r w:rsidRPr="00B53D74">
        <w:rPr>
          <w:rFonts w:ascii="Arial" w:hAnsi="Arial" w:cs="Arial"/>
          <w:sz w:val="20"/>
          <w:szCs w:val="20"/>
          <w:lang w:val="en-US"/>
        </w:rPr>
        <w:t>084119.</w:t>
      </w:r>
    </w:p>
    <w:p w14:paraId="5752D7FF" w14:textId="3C40C824" w:rsidR="00502B7B" w:rsidRPr="00B53D74" w:rsidRDefault="00502B7B" w:rsidP="00B53D74">
      <w:pPr>
        <w:pStyle w:val="Prrafodelista"/>
        <w:ind w:left="709"/>
        <w:jc w:val="both"/>
        <w:rPr>
          <w:rFonts w:ascii="Arial" w:hAnsi="Arial" w:cs="Arial"/>
          <w:sz w:val="20"/>
          <w:szCs w:val="20"/>
          <w:lang w:val="en-US"/>
        </w:rPr>
      </w:pPr>
      <w:r w:rsidRPr="00B53D74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502B7B" w:rsidRPr="00B53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848C6"/>
    <w:multiLevelType w:val="hybridMultilevel"/>
    <w:tmpl w:val="AC9ED91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54C9"/>
    <w:multiLevelType w:val="hybridMultilevel"/>
    <w:tmpl w:val="51D27DE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A5D39"/>
    <w:multiLevelType w:val="hybridMultilevel"/>
    <w:tmpl w:val="F06879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701156">
    <w:abstractNumId w:val="0"/>
  </w:num>
  <w:num w:numId="2" w16cid:durableId="1538810074">
    <w:abstractNumId w:val="4"/>
  </w:num>
  <w:num w:numId="3" w16cid:durableId="856886565">
    <w:abstractNumId w:val="5"/>
  </w:num>
  <w:num w:numId="4" w16cid:durableId="1277059549">
    <w:abstractNumId w:val="3"/>
  </w:num>
  <w:num w:numId="5" w16cid:durableId="1935550533">
    <w:abstractNumId w:val="2"/>
  </w:num>
  <w:num w:numId="6" w16cid:durableId="438724037">
    <w:abstractNumId w:val="6"/>
  </w:num>
  <w:num w:numId="7" w16cid:durableId="697238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A61D2"/>
    <w:rsid w:val="000F6433"/>
    <w:rsid w:val="002777FA"/>
    <w:rsid w:val="00327D1A"/>
    <w:rsid w:val="004065EF"/>
    <w:rsid w:val="00416E3A"/>
    <w:rsid w:val="00502B7B"/>
    <w:rsid w:val="005D75C8"/>
    <w:rsid w:val="0062089B"/>
    <w:rsid w:val="00632BE2"/>
    <w:rsid w:val="007653B1"/>
    <w:rsid w:val="00772C41"/>
    <w:rsid w:val="008A204F"/>
    <w:rsid w:val="00903522"/>
    <w:rsid w:val="009809C7"/>
    <w:rsid w:val="009D1579"/>
    <w:rsid w:val="00B53D74"/>
    <w:rsid w:val="00B715E8"/>
    <w:rsid w:val="00B736DB"/>
    <w:rsid w:val="00E43599"/>
    <w:rsid w:val="00EA0188"/>
    <w:rsid w:val="00F54586"/>
    <w:rsid w:val="00FB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2E8A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B53D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53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.melin@up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18</cp:revision>
  <dcterms:created xsi:type="dcterms:W3CDTF">2026-01-19T16:42:00Z</dcterms:created>
  <dcterms:modified xsi:type="dcterms:W3CDTF">2026-02-09T11:20:00Z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