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45F7" w14:textId="3D74A5BA" w:rsidR="00D74A79" w:rsidRDefault="00D74A79" w:rsidP="00F741DB">
      <w:pPr>
        <w:pStyle w:val="NormalWeb"/>
        <w:spacing w:before="0" w:beforeAutospacing="0" w:after="0" w:afterAutospacing="0"/>
        <w:ind w:left="1134"/>
        <w:textAlignment w:val="baseline"/>
        <w:rPr>
          <w:rFonts w:ascii="Arial" w:hAnsi="Arial" w:cs="Arial"/>
          <w:color w:val="000000"/>
          <w:sz w:val="22"/>
          <w:szCs w:val="22"/>
          <w:lang w:val="es-ES"/>
        </w:rPr>
      </w:pPr>
      <w:r>
        <w:rPr>
          <w:rFonts w:ascii="Aptos" w:hAnsi="Aptos"/>
          <w:noProof/>
          <w:color w:val="000000"/>
          <w:sz w:val="22"/>
          <w:szCs w:val="22"/>
          <w:bdr w:val="none" w:sz="0" w:space="0" w:color="auto" w:frame="1"/>
        </w:rPr>
        <w:drawing>
          <wp:anchor distT="0" distB="0" distL="114300" distR="114300" simplePos="0" relativeHeight="251660288" behindDoc="0" locked="0" layoutInCell="1" allowOverlap="1" wp14:anchorId="04DDDED2" wp14:editId="769DBF26">
            <wp:simplePos x="0" y="0"/>
            <wp:positionH relativeFrom="column">
              <wp:posOffset>2533650</wp:posOffset>
            </wp:positionH>
            <wp:positionV relativeFrom="paragraph">
              <wp:posOffset>0</wp:posOffset>
            </wp:positionV>
            <wp:extent cx="1000125" cy="664845"/>
            <wp:effectExtent l="0" t="0" r="9525" b="1905"/>
            <wp:wrapSquare wrapText="bothSides"/>
            <wp:docPr id="3" name="Imagen 3" descr="Bandera de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Puerto Ri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000125"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1DB">
        <w:rPr>
          <w:rFonts w:ascii="Arial" w:hAnsi="Arial" w:cs="Arial"/>
          <w:color w:val="000000"/>
          <w:sz w:val="22"/>
          <w:szCs w:val="22"/>
          <w:lang w:val="es-ES"/>
        </w:rPr>
        <w:t xml:space="preserve">      </w:t>
      </w:r>
    </w:p>
    <w:p w14:paraId="4A7BE7FA" w14:textId="77777777" w:rsidR="00D74A79" w:rsidRDefault="00D74A79" w:rsidP="00F741DB">
      <w:pPr>
        <w:pStyle w:val="NormalWeb"/>
        <w:spacing w:before="0" w:beforeAutospacing="0" w:after="0" w:afterAutospacing="0"/>
        <w:ind w:left="1134"/>
        <w:textAlignment w:val="baseline"/>
        <w:rPr>
          <w:rFonts w:ascii="Arial" w:hAnsi="Arial" w:cs="Arial"/>
          <w:color w:val="000000"/>
          <w:sz w:val="22"/>
          <w:szCs w:val="22"/>
          <w:lang w:val="es-ES"/>
        </w:rPr>
      </w:pPr>
    </w:p>
    <w:p w14:paraId="436E0511" w14:textId="77777777" w:rsidR="00D74A79" w:rsidRDefault="00D74A79" w:rsidP="00F741DB">
      <w:pPr>
        <w:pStyle w:val="NormalWeb"/>
        <w:spacing w:before="0" w:beforeAutospacing="0" w:after="0" w:afterAutospacing="0"/>
        <w:ind w:left="1134"/>
        <w:textAlignment w:val="baseline"/>
        <w:rPr>
          <w:rFonts w:ascii="Arial" w:hAnsi="Arial" w:cs="Arial"/>
          <w:color w:val="000000"/>
          <w:sz w:val="22"/>
          <w:szCs w:val="22"/>
          <w:lang w:val="es-ES"/>
        </w:rPr>
      </w:pPr>
    </w:p>
    <w:p w14:paraId="1C24C56D" w14:textId="0F424FC5" w:rsidR="00D74A79" w:rsidRPr="00AB3D34" w:rsidRDefault="00D74A79" w:rsidP="00D74A79">
      <w:pPr>
        <w:pStyle w:val="NormalWeb"/>
        <w:spacing w:before="0" w:beforeAutospacing="0" w:after="0" w:afterAutospacing="0"/>
        <w:ind w:left="3828"/>
        <w:textAlignment w:val="baseline"/>
        <w:rPr>
          <w:rFonts w:ascii="Arial" w:hAnsi="Arial" w:cs="Arial"/>
          <w:b/>
          <w:bCs/>
          <w:color w:val="000000"/>
          <w:sz w:val="20"/>
          <w:szCs w:val="20"/>
          <w:lang w:val="es-ES"/>
        </w:rPr>
      </w:pPr>
      <w:r w:rsidRPr="00AB3D34">
        <w:rPr>
          <w:rFonts w:ascii="Arial" w:hAnsi="Arial" w:cs="Arial"/>
          <w:b/>
          <w:bCs/>
          <w:color w:val="000000"/>
          <w:sz w:val="20"/>
          <w:szCs w:val="20"/>
          <w:lang w:val="es-ES"/>
        </w:rPr>
        <w:t>PUERTO RICO</w:t>
      </w:r>
    </w:p>
    <w:p w14:paraId="7D2A9D9B" w14:textId="77777777" w:rsidR="00D74A79" w:rsidRPr="00AB3D34" w:rsidRDefault="00D74A79" w:rsidP="00F741DB">
      <w:pPr>
        <w:pStyle w:val="NormalWeb"/>
        <w:spacing w:before="0" w:beforeAutospacing="0" w:after="0" w:afterAutospacing="0"/>
        <w:ind w:left="1134"/>
        <w:textAlignment w:val="baseline"/>
        <w:rPr>
          <w:rFonts w:ascii="Arial" w:hAnsi="Arial" w:cs="Arial"/>
          <w:color w:val="000000"/>
          <w:sz w:val="20"/>
          <w:szCs w:val="20"/>
          <w:lang w:val="es-ES"/>
        </w:rPr>
      </w:pPr>
    </w:p>
    <w:p w14:paraId="2A17BF92" w14:textId="49B69979" w:rsidR="00F741DB" w:rsidRPr="00F741DB" w:rsidRDefault="00F741DB" w:rsidP="00D74A79">
      <w:pPr>
        <w:pStyle w:val="NormalWeb"/>
        <w:spacing w:before="0" w:beforeAutospacing="0" w:after="0" w:afterAutospacing="0"/>
        <w:ind w:left="2552"/>
        <w:textAlignment w:val="baseline"/>
        <w:rPr>
          <w:rFonts w:ascii="Arial" w:hAnsi="Arial" w:cs="Arial"/>
          <w:b/>
          <w:bCs/>
          <w:color w:val="000000"/>
          <w:sz w:val="20"/>
          <w:szCs w:val="20"/>
          <w:lang w:val="es-ES"/>
        </w:rPr>
      </w:pPr>
      <w:r w:rsidRPr="00AB3D34">
        <w:rPr>
          <w:rFonts w:ascii="Arial" w:hAnsi="Arial" w:cs="Arial"/>
          <w:color w:val="000000"/>
          <w:sz w:val="20"/>
          <w:szCs w:val="20"/>
          <w:lang w:val="es-ES"/>
        </w:rPr>
        <w:t xml:space="preserve"> </w:t>
      </w:r>
      <w:r w:rsidRPr="00AB3D34">
        <w:rPr>
          <w:rFonts w:ascii="Arial" w:hAnsi="Arial" w:cs="Arial"/>
          <w:b/>
          <w:bCs/>
          <w:color w:val="000000"/>
          <w:sz w:val="20"/>
          <w:szCs w:val="20"/>
          <w:lang w:val="es-ES"/>
        </w:rPr>
        <w:t>UNIVERSIDAD DE PUERTO RICO, ESCUELA DE FARMACIA</w:t>
      </w:r>
    </w:p>
    <w:p w14:paraId="76E73E73" w14:textId="217FCC6D" w:rsidR="00F741DB" w:rsidRPr="00F741DB" w:rsidRDefault="00D74A79" w:rsidP="00F741DB">
      <w:pPr>
        <w:pStyle w:val="NormalWeb"/>
        <w:spacing w:before="0" w:beforeAutospacing="0" w:after="0" w:afterAutospacing="0"/>
        <w:ind w:left="2694"/>
        <w:textAlignment w:val="baseline"/>
        <w:rPr>
          <w:rFonts w:ascii="Arial" w:hAnsi="Arial" w:cs="Arial"/>
          <w:b/>
          <w:bCs/>
          <w:color w:val="000000"/>
          <w:sz w:val="20"/>
          <w:szCs w:val="20"/>
          <w:lang w:val="es-ES"/>
        </w:rPr>
      </w:pPr>
      <w:r>
        <w:rPr>
          <w:rFonts w:ascii="Arial" w:hAnsi="Arial" w:cs="Arial"/>
          <w:noProof/>
          <w:color w:val="000000"/>
          <w:sz w:val="22"/>
          <w:szCs w:val="22"/>
          <w:lang w:val="es-ES"/>
        </w:rPr>
        <w:drawing>
          <wp:anchor distT="0" distB="0" distL="114300" distR="114300" simplePos="0" relativeHeight="251659264" behindDoc="0" locked="0" layoutInCell="1" allowOverlap="1" wp14:anchorId="2D3621AA" wp14:editId="0FAC3F8B">
            <wp:simplePos x="0" y="0"/>
            <wp:positionH relativeFrom="column">
              <wp:posOffset>304800</wp:posOffset>
            </wp:positionH>
            <wp:positionV relativeFrom="paragraph">
              <wp:posOffset>120650</wp:posOffset>
            </wp:positionV>
            <wp:extent cx="1171575" cy="487680"/>
            <wp:effectExtent l="0" t="0" r="9525"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487680"/>
                    </a:xfrm>
                    <a:prstGeom prst="rect">
                      <a:avLst/>
                    </a:prstGeom>
                    <a:noFill/>
                  </pic:spPr>
                </pic:pic>
              </a:graphicData>
            </a:graphic>
            <wp14:sizeRelH relativeFrom="margin">
              <wp14:pctWidth>0</wp14:pctWidth>
            </wp14:sizeRelH>
            <wp14:sizeRelV relativeFrom="margin">
              <wp14:pctHeight>0</wp14:pctHeight>
            </wp14:sizeRelV>
          </wp:anchor>
        </w:drawing>
      </w:r>
    </w:p>
    <w:p w14:paraId="07732A9B" w14:textId="45AB170C" w:rsidR="00225A5C" w:rsidRPr="00337F74" w:rsidRDefault="00225A5C" w:rsidP="00D74A79">
      <w:pPr>
        <w:pStyle w:val="NormalWeb"/>
        <w:spacing w:before="0" w:beforeAutospacing="0" w:after="0" w:afterAutospacing="0"/>
        <w:textAlignment w:val="baseline"/>
        <w:rPr>
          <w:rFonts w:ascii="Arial" w:hAnsi="Arial" w:cs="Arial"/>
          <w:b/>
          <w:bCs/>
          <w:color w:val="000000"/>
          <w:sz w:val="20"/>
          <w:szCs w:val="20"/>
          <w:lang w:val="es-ES"/>
        </w:rPr>
      </w:pPr>
      <w:r w:rsidRPr="00337F74">
        <w:rPr>
          <w:rFonts w:ascii="Arial" w:hAnsi="Arial" w:cs="Arial"/>
          <w:b/>
          <w:bCs/>
          <w:color w:val="000000"/>
          <w:sz w:val="20"/>
          <w:szCs w:val="20"/>
          <w:lang w:val="es-ES"/>
        </w:rPr>
        <w:t>Joseph Bloom Oquendo</w:t>
      </w:r>
    </w:p>
    <w:p w14:paraId="0072739A" w14:textId="321586DA" w:rsidR="00225A5C" w:rsidRPr="00F741DB" w:rsidRDefault="00225A5C" w:rsidP="00F741DB">
      <w:pPr>
        <w:pStyle w:val="NormalWeb"/>
        <w:spacing w:before="0" w:beforeAutospacing="0" w:after="0" w:afterAutospacing="0"/>
        <w:ind w:left="720"/>
        <w:textAlignment w:val="baseline"/>
        <w:rPr>
          <w:rFonts w:ascii="Arial" w:hAnsi="Arial" w:cs="Arial"/>
          <w:color w:val="000000"/>
          <w:sz w:val="20"/>
          <w:szCs w:val="20"/>
          <w:lang w:val="es-ES"/>
        </w:rPr>
      </w:pPr>
    </w:p>
    <w:p w14:paraId="41C99624" w14:textId="15C6DBFE" w:rsidR="00225A5C" w:rsidRPr="00F741DB" w:rsidRDefault="00F741DB" w:rsidP="00F741DB">
      <w:pPr>
        <w:pStyle w:val="NormalWeb"/>
        <w:spacing w:before="0" w:beforeAutospacing="0" w:after="0" w:afterAutospacing="0"/>
        <w:ind w:left="2552"/>
        <w:jc w:val="both"/>
        <w:textAlignment w:val="baseline"/>
        <w:rPr>
          <w:rFonts w:ascii="Arial" w:hAnsi="Arial" w:cs="Arial"/>
          <w:color w:val="000000"/>
          <w:sz w:val="20"/>
          <w:szCs w:val="20"/>
          <w:lang w:val="es-ES"/>
        </w:rPr>
      </w:pPr>
      <w:r w:rsidRPr="00F741DB">
        <w:rPr>
          <w:rFonts w:ascii="Arial" w:eastAsiaTheme="minorHAnsi" w:hAnsi="Arial" w:cs="Arial"/>
          <w:noProof/>
          <w:sz w:val="20"/>
          <w:szCs w:val="20"/>
        </w:rPr>
        <w:drawing>
          <wp:anchor distT="0" distB="0" distL="114300" distR="114300" simplePos="0" relativeHeight="251658240" behindDoc="0" locked="0" layoutInCell="1" allowOverlap="1" wp14:anchorId="4C0058BE" wp14:editId="5EE04EF1">
            <wp:simplePos x="0" y="0"/>
            <wp:positionH relativeFrom="column">
              <wp:posOffset>104775</wp:posOffset>
            </wp:positionH>
            <wp:positionV relativeFrom="paragraph">
              <wp:posOffset>260985</wp:posOffset>
            </wp:positionV>
            <wp:extent cx="1371600" cy="1371600"/>
            <wp:effectExtent l="0" t="0" r="0" b="0"/>
            <wp:wrapSquare wrapText="bothSides"/>
            <wp:docPr id="2" name="Picture 2" descr="A person with a beard and mustache wearing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a beard and mustache wearing a striped shi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a:ln>
                      <a:noFill/>
                    </a:ln>
                    <a:effectLst>
                      <a:softEdge rad="112500"/>
                    </a:effectLst>
                  </pic:spPr>
                </pic:pic>
              </a:graphicData>
            </a:graphic>
          </wp:anchor>
        </w:drawing>
      </w:r>
      <w:r w:rsidR="00225A5C" w:rsidRPr="00F741DB">
        <w:rPr>
          <w:rFonts w:ascii="Arial" w:hAnsi="Arial" w:cs="Arial"/>
          <w:color w:val="000000"/>
          <w:sz w:val="20"/>
          <w:szCs w:val="20"/>
          <w:lang w:val="es-ES"/>
        </w:rPr>
        <w:t>El Dr. Joseph Bloom es professor del Departamento de Ciencias Farmacéuticas de la Universidad de Puerto Rico. El Dr. Bloom tiene una amplia experiencia en el Desarrollo de metodología analítica para el análisis de varios tipos de muestras ya sea sangre, tejido o ambiental; así como tambien en el Desarrollo de estudios farmacocinéticos. Sus intereses de investigación incluyen el studio de cannabidiol como compuesto neuroprotector para pacientes de Alzheimer, el uso de cannabinoides que actuen como bacteriofago o bactericida, análisis de parchos transdermales para diferentes tipos de fármaco, y aplicaciones de tecnicas analíticas en el campo de la industria farmacéutica para mejorar la calidad del producto.</w:t>
      </w:r>
    </w:p>
    <w:p w14:paraId="037DBD3F" w14:textId="77777777" w:rsidR="00F741DB" w:rsidRPr="00F741DB" w:rsidRDefault="00F741DB" w:rsidP="00F741DB">
      <w:pPr>
        <w:pStyle w:val="NormalWeb"/>
        <w:spacing w:before="0" w:beforeAutospacing="0" w:after="0" w:afterAutospacing="0"/>
        <w:ind w:left="2552"/>
        <w:textAlignment w:val="baseline"/>
        <w:rPr>
          <w:rFonts w:ascii="Arial" w:hAnsi="Arial" w:cs="Arial"/>
          <w:color w:val="0070C0"/>
          <w:sz w:val="20"/>
          <w:szCs w:val="20"/>
          <w:lang w:val="es-ES"/>
        </w:rPr>
      </w:pPr>
      <w:r w:rsidRPr="00F741DB">
        <w:rPr>
          <w:rFonts w:ascii="Arial" w:hAnsi="Arial" w:cs="Arial"/>
          <w:color w:val="0070C0"/>
          <w:sz w:val="20"/>
          <w:szCs w:val="20"/>
          <w:lang w:val="es-ES"/>
        </w:rPr>
        <w:t>joseph.bloom@upr.edu</w:t>
      </w:r>
    </w:p>
    <w:p w14:paraId="0823C1E0" w14:textId="0195425F" w:rsidR="00225A5C" w:rsidRPr="00337F74" w:rsidRDefault="00225A5C" w:rsidP="00D74A79">
      <w:pPr>
        <w:pStyle w:val="NormalWeb"/>
        <w:spacing w:before="0" w:beforeAutospacing="0" w:after="160" w:afterAutospacing="0"/>
        <w:textAlignment w:val="baseline"/>
        <w:rPr>
          <w:rFonts w:ascii="Arial" w:hAnsi="Arial" w:cs="Arial"/>
          <w:b/>
          <w:bCs/>
          <w:color w:val="000000"/>
          <w:sz w:val="20"/>
          <w:szCs w:val="20"/>
          <w:lang w:val="es-ES"/>
        </w:rPr>
      </w:pPr>
    </w:p>
    <w:p w14:paraId="5ED174E2" w14:textId="523319F7" w:rsidR="00225A5C" w:rsidRPr="00337F74" w:rsidRDefault="00225A5C" w:rsidP="00F741DB">
      <w:pPr>
        <w:pStyle w:val="NormalWeb"/>
        <w:spacing w:before="0" w:beforeAutospacing="0" w:after="160" w:afterAutospacing="0"/>
        <w:jc w:val="center"/>
        <w:rPr>
          <w:rFonts w:ascii="Arial" w:hAnsi="Arial" w:cs="Arial"/>
          <w:sz w:val="20"/>
          <w:szCs w:val="20"/>
          <w:lang w:val="es-ES"/>
        </w:rPr>
      </w:pPr>
      <w:r w:rsidRPr="00337F74">
        <w:rPr>
          <w:rFonts w:ascii="Arial" w:hAnsi="Arial" w:cs="Arial"/>
          <w:b/>
          <w:bCs/>
          <w:color w:val="000000"/>
          <w:sz w:val="20"/>
          <w:szCs w:val="20"/>
          <w:lang w:val="es-ES"/>
        </w:rPr>
        <w:t>PROYECTOS</w:t>
      </w:r>
    </w:p>
    <w:p w14:paraId="247DD905" w14:textId="77777777" w:rsidR="003C6400" w:rsidRPr="00337F74" w:rsidRDefault="00225A5C" w:rsidP="00D74A79">
      <w:pPr>
        <w:pStyle w:val="NormalWeb"/>
        <w:spacing w:before="0" w:beforeAutospacing="0" w:after="0" w:afterAutospacing="0"/>
        <w:ind w:left="284"/>
        <w:jc w:val="both"/>
        <w:textAlignment w:val="baseline"/>
        <w:rPr>
          <w:rFonts w:ascii="Arial" w:hAnsi="Arial" w:cs="Arial"/>
          <w:b/>
          <w:bCs/>
          <w:color w:val="000000"/>
          <w:sz w:val="20"/>
          <w:szCs w:val="20"/>
          <w:lang w:val="es-ES"/>
        </w:rPr>
      </w:pPr>
      <w:r w:rsidRPr="00337F74">
        <w:rPr>
          <w:rFonts w:ascii="Arial" w:hAnsi="Arial" w:cs="Arial"/>
          <w:b/>
          <w:bCs/>
          <w:color w:val="000000"/>
          <w:sz w:val="20"/>
          <w:szCs w:val="20"/>
          <w:lang w:val="es-ES"/>
        </w:rPr>
        <w:t>En preparación: </w:t>
      </w:r>
    </w:p>
    <w:p w14:paraId="0AFB6345" w14:textId="77777777" w:rsidR="00225A5C" w:rsidRPr="00F741DB" w:rsidRDefault="003C6400" w:rsidP="00D74A79">
      <w:pPr>
        <w:pStyle w:val="NormalWeb"/>
        <w:numPr>
          <w:ilvl w:val="1"/>
          <w:numId w:val="6"/>
        </w:numPr>
        <w:spacing w:before="0" w:beforeAutospacing="0" w:after="0" w:afterAutospacing="0"/>
        <w:ind w:left="851"/>
        <w:jc w:val="both"/>
        <w:textAlignment w:val="baseline"/>
        <w:rPr>
          <w:rFonts w:ascii="Arial" w:hAnsi="Arial" w:cs="Arial"/>
          <w:color w:val="000000"/>
          <w:sz w:val="20"/>
          <w:szCs w:val="20"/>
        </w:rPr>
      </w:pPr>
      <w:r w:rsidRPr="00337F74">
        <w:rPr>
          <w:rFonts w:ascii="Arial" w:hAnsi="Arial" w:cs="Arial"/>
          <w:sz w:val="20"/>
          <w:szCs w:val="20"/>
          <w:lang w:val="es-ES"/>
        </w:rPr>
        <w:t xml:space="preserve"> </w:t>
      </w:r>
      <w:r w:rsidRPr="00F741DB">
        <w:rPr>
          <w:rFonts w:ascii="Arial" w:hAnsi="Arial" w:cs="Arial"/>
          <w:sz w:val="20"/>
          <w:szCs w:val="20"/>
        </w:rPr>
        <w:t>Exploring the Synergistic Antibacterial Activity of Cannabinoids</w:t>
      </w:r>
    </w:p>
    <w:p w14:paraId="691C085C" w14:textId="77777777" w:rsidR="00225A5C" w:rsidRPr="00F741DB" w:rsidRDefault="00225A5C" w:rsidP="00D74A79">
      <w:pPr>
        <w:pStyle w:val="NormalWeb"/>
        <w:spacing w:before="0" w:beforeAutospacing="0" w:after="0" w:afterAutospacing="0"/>
        <w:ind w:left="284"/>
        <w:jc w:val="both"/>
        <w:textAlignment w:val="baseline"/>
        <w:rPr>
          <w:rFonts w:ascii="Arial" w:hAnsi="Arial" w:cs="Arial"/>
          <w:b/>
          <w:bCs/>
          <w:color w:val="000000"/>
          <w:sz w:val="20"/>
          <w:szCs w:val="20"/>
        </w:rPr>
      </w:pPr>
      <w:r w:rsidRPr="00F741DB">
        <w:rPr>
          <w:rFonts w:ascii="Arial" w:hAnsi="Arial" w:cs="Arial"/>
          <w:b/>
          <w:bCs/>
          <w:color w:val="000000"/>
          <w:sz w:val="20"/>
          <w:szCs w:val="20"/>
        </w:rPr>
        <w:t>En desarrollo</w:t>
      </w:r>
    </w:p>
    <w:p w14:paraId="73799765" w14:textId="77777777" w:rsidR="003C6400" w:rsidRPr="00F741DB" w:rsidRDefault="003C6400" w:rsidP="00D74A79">
      <w:pPr>
        <w:pStyle w:val="Prrafodelista"/>
        <w:numPr>
          <w:ilvl w:val="2"/>
          <w:numId w:val="10"/>
        </w:numPr>
        <w:ind w:left="851"/>
        <w:jc w:val="both"/>
        <w:rPr>
          <w:rFonts w:ascii="Arial" w:eastAsia="Times New Roman" w:hAnsi="Arial" w:cs="Arial"/>
          <w:sz w:val="20"/>
          <w:szCs w:val="20"/>
        </w:rPr>
      </w:pPr>
      <w:r w:rsidRPr="00F741DB">
        <w:rPr>
          <w:rFonts w:ascii="Arial" w:eastAsia="Times New Roman" w:hAnsi="Arial" w:cs="Arial"/>
          <w:color w:val="000000"/>
          <w:sz w:val="20"/>
          <w:szCs w:val="20"/>
        </w:rPr>
        <w:t>Optimizing the dose and usage frequency of Cannabidiol (CBD) for treating Alzheimer’s Disease through in vitro methods, leveraging the pharmacokinetics specific to the Puerto Rican population</w:t>
      </w:r>
    </w:p>
    <w:p w14:paraId="1AB20610" w14:textId="77777777" w:rsidR="003C6400" w:rsidRPr="00F741DB" w:rsidRDefault="003C6400" w:rsidP="00D74A79">
      <w:pPr>
        <w:pStyle w:val="Prrafodelista"/>
        <w:numPr>
          <w:ilvl w:val="2"/>
          <w:numId w:val="10"/>
        </w:numPr>
        <w:ind w:left="851"/>
        <w:jc w:val="both"/>
        <w:rPr>
          <w:rFonts w:ascii="Arial" w:eastAsia="Times New Roman" w:hAnsi="Arial" w:cs="Arial"/>
          <w:sz w:val="20"/>
          <w:szCs w:val="20"/>
        </w:rPr>
      </w:pPr>
      <w:r w:rsidRPr="00F741DB">
        <w:rPr>
          <w:rFonts w:ascii="Arial" w:eastAsia="Times New Roman" w:hAnsi="Arial" w:cs="Arial"/>
          <w:sz w:val="20"/>
          <w:szCs w:val="20"/>
        </w:rPr>
        <w:t>Analysis of the Antimicrobial Potential of Cannabinoids: MIC Outcomes</w:t>
      </w:r>
    </w:p>
    <w:p w14:paraId="3A9F5DC4" w14:textId="087D469D" w:rsidR="00905221" w:rsidRPr="00F741DB" w:rsidRDefault="00905221" w:rsidP="00D74A79">
      <w:pPr>
        <w:pStyle w:val="Prrafodelista"/>
        <w:numPr>
          <w:ilvl w:val="2"/>
          <w:numId w:val="10"/>
        </w:numPr>
        <w:spacing w:line="276" w:lineRule="auto"/>
        <w:ind w:left="851"/>
        <w:jc w:val="both"/>
        <w:rPr>
          <w:rFonts w:ascii="Arial" w:hAnsi="Arial" w:cs="Arial"/>
          <w:sz w:val="20"/>
          <w:szCs w:val="20"/>
        </w:rPr>
      </w:pPr>
      <w:r w:rsidRPr="00F741DB">
        <w:rPr>
          <w:rFonts w:ascii="Arial" w:hAnsi="Arial" w:cs="Arial"/>
          <w:sz w:val="20"/>
          <w:szCs w:val="20"/>
        </w:rPr>
        <w:t>Dissolution Studies of CBD Products</w:t>
      </w:r>
    </w:p>
    <w:p w14:paraId="0EDD0CC3" w14:textId="77777777" w:rsidR="003C6400" w:rsidRPr="00F741DB" w:rsidRDefault="003C6400" w:rsidP="00D74A79">
      <w:pPr>
        <w:pStyle w:val="Prrafodelista"/>
        <w:ind w:left="1440"/>
        <w:jc w:val="both"/>
        <w:rPr>
          <w:rFonts w:ascii="Arial" w:eastAsia="Times New Roman" w:hAnsi="Arial" w:cs="Arial"/>
          <w:sz w:val="20"/>
          <w:szCs w:val="20"/>
        </w:rPr>
      </w:pPr>
    </w:p>
    <w:p w14:paraId="54C8AACF" w14:textId="4EC5E00F" w:rsidR="003C6400" w:rsidRPr="00F741DB" w:rsidRDefault="00225A5C" w:rsidP="00D74A79">
      <w:pPr>
        <w:pStyle w:val="NormalWeb"/>
        <w:spacing w:before="0" w:beforeAutospacing="0" w:after="160" w:afterAutospacing="0"/>
        <w:jc w:val="both"/>
        <w:rPr>
          <w:rFonts w:ascii="Arial" w:hAnsi="Arial" w:cs="Arial"/>
          <w:sz w:val="20"/>
          <w:szCs w:val="20"/>
        </w:rPr>
      </w:pPr>
      <w:r w:rsidRPr="00F741DB">
        <w:rPr>
          <w:rFonts w:ascii="Arial" w:hAnsi="Arial" w:cs="Arial"/>
          <w:b/>
          <w:bCs/>
          <w:color w:val="000000"/>
          <w:sz w:val="20"/>
          <w:szCs w:val="20"/>
        </w:rPr>
        <w:t>PUBLICACIONES:</w:t>
      </w:r>
    </w:p>
    <w:p w14:paraId="314DB473" w14:textId="77777777" w:rsidR="00225A5C" w:rsidRPr="00F741DB" w:rsidRDefault="00225A5C" w:rsidP="00D74A79">
      <w:pPr>
        <w:pStyle w:val="Textoindependiente"/>
        <w:numPr>
          <w:ilvl w:val="0"/>
          <w:numId w:val="11"/>
        </w:numPr>
        <w:tabs>
          <w:tab w:val="clear" w:pos="720"/>
        </w:tabs>
        <w:spacing w:before="1" w:line="228" w:lineRule="auto"/>
        <w:ind w:right="344"/>
        <w:jc w:val="both"/>
        <w:rPr>
          <w:rFonts w:ascii="Arial" w:hAnsi="Arial" w:cs="Arial"/>
          <w:sz w:val="20"/>
          <w:szCs w:val="20"/>
        </w:rPr>
      </w:pPr>
      <w:r w:rsidRPr="00F741DB">
        <w:rPr>
          <w:rFonts w:ascii="Arial" w:hAnsi="Arial" w:cs="Arial"/>
          <w:sz w:val="20"/>
          <w:szCs w:val="20"/>
        </w:rPr>
        <w:t>Maria del Mar Maldonado Montalban, Gabriela Rosado Gonzalez, Joseph Bloom, Suranganie Dharmawardhane, Jorge Duconge, Eliud Hernandez, Cornelis Vlaar, Jose F Rodriguez Orengo, Pharmacokinetics of the Rac/Cdc42 inhibitor MBQ-167 in Mice by Supercritical Fluid Chromatography-Tandem Mass Spectrometry, ACS Omega, Octubre 2019.</w:t>
      </w:r>
    </w:p>
    <w:p w14:paraId="0D1063D1" w14:textId="77777777" w:rsidR="00225A5C" w:rsidRPr="00F741DB" w:rsidRDefault="00225A5C" w:rsidP="00D74A79">
      <w:pPr>
        <w:pStyle w:val="Textoindependiente"/>
        <w:spacing w:before="1" w:line="228" w:lineRule="auto"/>
        <w:ind w:left="720" w:right="344"/>
        <w:jc w:val="both"/>
        <w:rPr>
          <w:rFonts w:ascii="Arial" w:hAnsi="Arial" w:cs="Arial"/>
          <w:sz w:val="20"/>
          <w:szCs w:val="20"/>
        </w:rPr>
      </w:pPr>
    </w:p>
    <w:p w14:paraId="48D1F9B4" w14:textId="77777777" w:rsidR="00225A5C" w:rsidRPr="00F741DB" w:rsidRDefault="00225A5C" w:rsidP="00D74A79">
      <w:pPr>
        <w:pStyle w:val="Textoindependiente"/>
        <w:numPr>
          <w:ilvl w:val="0"/>
          <w:numId w:val="11"/>
        </w:numPr>
        <w:tabs>
          <w:tab w:val="clear" w:pos="720"/>
        </w:tabs>
        <w:spacing w:before="1" w:line="228" w:lineRule="auto"/>
        <w:ind w:right="344"/>
        <w:jc w:val="both"/>
        <w:rPr>
          <w:rFonts w:ascii="Arial" w:hAnsi="Arial" w:cs="Arial"/>
          <w:sz w:val="20"/>
          <w:szCs w:val="20"/>
        </w:rPr>
      </w:pPr>
      <w:r w:rsidRPr="00F741DB">
        <w:rPr>
          <w:rFonts w:ascii="Arial" w:hAnsi="Arial" w:cs="Arial"/>
          <w:sz w:val="20"/>
          <w:szCs w:val="20"/>
        </w:rPr>
        <w:t>Maria del Mar Maldonado Montalban, Gabriela Rosado Gonzalez, Joseph Bloom, Suranganie Dharmawardhane, Jorge Duconge, Eliud Hernandez, Cornelis Vlaar, Supercritical Fluid Chroamtography-Tandem Mass Spectrometry Method Development for the Detection of the Rac/Cdc42 inhibitor MBQ-167 in Mouse Plasma, FASEB Journal, Octubre 2018</w:t>
      </w:r>
    </w:p>
    <w:p w14:paraId="5BFDE0AE" w14:textId="23BC5EF4" w:rsidR="00225A5C" w:rsidRPr="00337F74" w:rsidRDefault="00225A5C" w:rsidP="00D74A79">
      <w:pPr>
        <w:pStyle w:val="Prrafodelista"/>
        <w:numPr>
          <w:ilvl w:val="0"/>
          <w:numId w:val="11"/>
        </w:numPr>
        <w:tabs>
          <w:tab w:val="clear" w:pos="720"/>
        </w:tabs>
        <w:spacing w:line="300" w:lineRule="exact"/>
        <w:jc w:val="both"/>
        <w:rPr>
          <w:rFonts w:ascii="Arial" w:hAnsi="Arial" w:cs="Arial"/>
          <w:sz w:val="20"/>
          <w:szCs w:val="20"/>
        </w:rPr>
      </w:pPr>
      <w:r w:rsidRPr="00F741DB">
        <w:rPr>
          <w:rFonts w:ascii="Arial" w:hAnsi="Arial" w:cs="Arial"/>
          <w:sz w:val="20"/>
          <w:szCs w:val="20"/>
        </w:rPr>
        <w:t>Krystal Butler Ferna</w:t>
      </w:r>
      <w:r w:rsidR="003C6400" w:rsidRPr="00F741DB">
        <w:rPr>
          <w:rFonts w:ascii="Arial" w:hAnsi="Arial" w:cs="Arial"/>
          <w:sz w:val="20"/>
          <w:szCs w:val="20"/>
        </w:rPr>
        <w:t>n</w:t>
      </w:r>
      <w:r w:rsidRPr="00F741DB">
        <w:rPr>
          <w:rFonts w:ascii="Arial" w:hAnsi="Arial" w:cs="Arial"/>
          <w:sz w:val="20"/>
          <w:szCs w:val="20"/>
        </w:rPr>
        <w:t>dez, Zulma Ramos, Adela Francis-Malave, Joseph Bloom, Suranganie Darmawardhane, Eliud Hernandez, Synthesis, Anticancer and Anti-migratiry Evaluation of 3,6-Dibromocarbazole and 5-Bromoindole Derivatives, Molecules, Julio 2019</w:t>
      </w:r>
    </w:p>
    <w:p w14:paraId="0A128682" w14:textId="2D2CB8FD" w:rsidR="00225A5C" w:rsidRPr="00337F74" w:rsidRDefault="00225A5C" w:rsidP="00D74A79">
      <w:pPr>
        <w:pStyle w:val="Prrafodelista"/>
        <w:numPr>
          <w:ilvl w:val="0"/>
          <w:numId w:val="11"/>
        </w:numPr>
        <w:tabs>
          <w:tab w:val="clear" w:pos="720"/>
        </w:tabs>
        <w:spacing w:line="300" w:lineRule="exact"/>
        <w:jc w:val="both"/>
        <w:rPr>
          <w:rFonts w:ascii="Arial" w:hAnsi="Arial" w:cs="Arial"/>
          <w:sz w:val="20"/>
          <w:szCs w:val="20"/>
        </w:rPr>
      </w:pPr>
      <w:r w:rsidRPr="00F741DB">
        <w:rPr>
          <w:rFonts w:ascii="Arial" w:hAnsi="Arial" w:cs="Arial"/>
          <w:sz w:val="20"/>
          <w:szCs w:val="20"/>
        </w:rPr>
        <w:t xml:space="preserve">Gabriela Rosado Gonzalez, Maria del Mar Maldonado Montalban, Joseph Bloom Suranganie Dharmawardhane, </w:t>
      </w:r>
      <w:r w:rsidRPr="00F741DB">
        <w:rPr>
          <w:rFonts w:ascii="Arial" w:hAnsi="Arial" w:cs="Arial"/>
          <w:color w:val="131314"/>
          <w:sz w:val="20"/>
          <w:szCs w:val="20"/>
          <w:shd w:val="clear" w:color="auto" w:fill="FFFFFF"/>
        </w:rPr>
        <w:t>Bioanalytical Method Development for the Detection of the Rac/Cdc42 Inhibitor MBQ</w:t>
      </w:r>
      <w:r w:rsidRPr="00F741DB">
        <w:rPr>
          <w:rFonts w:ascii="Cambria Math" w:hAnsi="Cambria Math" w:cs="Cambria Math"/>
          <w:color w:val="131314"/>
          <w:sz w:val="20"/>
          <w:szCs w:val="20"/>
          <w:shd w:val="clear" w:color="auto" w:fill="FFFFFF"/>
        </w:rPr>
        <w:t>‐</w:t>
      </w:r>
      <w:r w:rsidRPr="00F741DB">
        <w:rPr>
          <w:rFonts w:ascii="Arial" w:hAnsi="Arial" w:cs="Arial"/>
          <w:color w:val="131314"/>
          <w:sz w:val="20"/>
          <w:szCs w:val="20"/>
          <w:shd w:val="clear" w:color="auto" w:fill="FFFFFF"/>
        </w:rPr>
        <w:t>167 in Mouse Tissue, The FASEB Journal, April 2019</w:t>
      </w:r>
    </w:p>
    <w:p w14:paraId="03BEDBBB" w14:textId="77777777" w:rsidR="00C96249" w:rsidRPr="00F741DB" w:rsidRDefault="00225A5C" w:rsidP="00D74A79">
      <w:pPr>
        <w:pStyle w:val="Textoindependiente"/>
        <w:numPr>
          <w:ilvl w:val="0"/>
          <w:numId w:val="11"/>
        </w:numPr>
        <w:tabs>
          <w:tab w:val="clear" w:pos="720"/>
        </w:tabs>
        <w:spacing w:before="1" w:line="228" w:lineRule="auto"/>
        <w:ind w:right="344"/>
        <w:jc w:val="both"/>
        <w:rPr>
          <w:rFonts w:ascii="Arial" w:hAnsi="Arial" w:cs="Arial"/>
          <w:color w:val="1F1E1E"/>
          <w:sz w:val="20"/>
          <w:szCs w:val="20"/>
        </w:rPr>
      </w:pPr>
      <w:r w:rsidRPr="00F741DB">
        <w:rPr>
          <w:rFonts w:ascii="Arial" w:hAnsi="Arial" w:cs="Arial"/>
          <w:color w:val="1F1E1E"/>
          <w:sz w:val="20"/>
          <w:szCs w:val="20"/>
        </w:rPr>
        <w:t>Ruiz-Colon, K., Martınez, M., Silva-Torres, L., Chavez-Arias, C., Melendez-Negron, M., S. Conte-Miller, M., and Bloom-Oquendo, J., Simultaneous Determination of Xylazine, Free Morphine,</w:t>
      </w:r>
      <w:r w:rsidRPr="00F741DB">
        <w:rPr>
          <w:rFonts w:ascii="Arial" w:hAnsi="Arial" w:cs="Arial"/>
          <w:color w:val="1F1E1E"/>
          <w:spacing w:val="-4"/>
          <w:sz w:val="20"/>
          <w:szCs w:val="20"/>
        </w:rPr>
        <w:t xml:space="preserve"> </w:t>
      </w:r>
      <w:r w:rsidRPr="00F741DB">
        <w:rPr>
          <w:rFonts w:ascii="Arial" w:hAnsi="Arial" w:cs="Arial"/>
          <w:color w:val="1F1E1E"/>
          <w:sz w:val="20"/>
          <w:szCs w:val="20"/>
        </w:rPr>
        <w:t>Codeine,</w:t>
      </w:r>
      <w:r w:rsidRPr="00F741DB">
        <w:rPr>
          <w:rFonts w:ascii="Arial" w:hAnsi="Arial" w:cs="Arial"/>
          <w:color w:val="1F1E1E"/>
          <w:spacing w:val="-4"/>
          <w:sz w:val="20"/>
          <w:szCs w:val="20"/>
        </w:rPr>
        <w:t xml:space="preserve"> </w:t>
      </w:r>
      <w:r w:rsidRPr="00F741DB">
        <w:rPr>
          <w:rFonts w:ascii="Arial" w:hAnsi="Arial" w:cs="Arial"/>
          <w:color w:val="1F1E1E"/>
          <w:sz w:val="20"/>
          <w:szCs w:val="20"/>
        </w:rPr>
        <w:t>6-Acetylmorphine,</w:t>
      </w:r>
      <w:r w:rsidRPr="00F741DB">
        <w:rPr>
          <w:rFonts w:ascii="Arial" w:hAnsi="Arial" w:cs="Arial"/>
          <w:color w:val="1F1E1E"/>
          <w:spacing w:val="-3"/>
          <w:sz w:val="20"/>
          <w:szCs w:val="20"/>
        </w:rPr>
        <w:t xml:space="preserve"> </w:t>
      </w:r>
      <w:r w:rsidRPr="00F741DB">
        <w:rPr>
          <w:rFonts w:ascii="Arial" w:hAnsi="Arial" w:cs="Arial"/>
          <w:color w:val="1F1E1E"/>
          <w:sz w:val="20"/>
          <w:szCs w:val="20"/>
        </w:rPr>
        <w:t>Cocaine</w:t>
      </w:r>
      <w:r w:rsidRPr="00F741DB">
        <w:rPr>
          <w:rFonts w:ascii="Arial" w:hAnsi="Arial" w:cs="Arial"/>
          <w:color w:val="1F1E1E"/>
          <w:spacing w:val="-1"/>
          <w:sz w:val="20"/>
          <w:szCs w:val="20"/>
        </w:rPr>
        <w:t xml:space="preserve"> </w:t>
      </w:r>
      <w:r w:rsidRPr="00F741DB">
        <w:rPr>
          <w:rFonts w:ascii="Arial" w:hAnsi="Arial" w:cs="Arial"/>
          <w:color w:val="1F1E1E"/>
          <w:sz w:val="20"/>
          <w:szCs w:val="20"/>
        </w:rPr>
        <w:t>and</w:t>
      </w:r>
      <w:r w:rsidRPr="00F741DB">
        <w:rPr>
          <w:rFonts w:ascii="Arial" w:hAnsi="Arial" w:cs="Arial"/>
          <w:color w:val="1F1E1E"/>
          <w:spacing w:val="-3"/>
          <w:sz w:val="20"/>
          <w:szCs w:val="20"/>
        </w:rPr>
        <w:t xml:space="preserve"> </w:t>
      </w:r>
      <w:r w:rsidRPr="00F741DB">
        <w:rPr>
          <w:rFonts w:ascii="Arial" w:hAnsi="Arial" w:cs="Arial"/>
          <w:color w:val="1F1E1E"/>
          <w:sz w:val="20"/>
          <w:szCs w:val="20"/>
        </w:rPr>
        <w:t>Benzoylecgonine</w:t>
      </w:r>
      <w:r w:rsidRPr="00F741DB">
        <w:rPr>
          <w:rFonts w:ascii="Arial" w:hAnsi="Arial" w:cs="Arial"/>
          <w:color w:val="1F1E1E"/>
          <w:spacing w:val="-4"/>
          <w:sz w:val="20"/>
          <w:szCs w:val="20"/>
        </w:rPr>
        <w:t xml:space="preserve"> </w:t>
      </w:r>
      <w:r w:rsidRPr="00F741DB">
        <w:rPr>
          <w:rFonts w:ascii="Arial" w:hAnsi="Arial" w:cs="Arial"/>
          <w:color w:val="1F1E1E"/>
          <w:sz w:val="20"/>
          <w:szCs w:val="20"/>
        </w:rPr>
        <w:t>in</w:t>
      </w:r>
      <w:r w:rsidRPr="00F741DB">
        <w:rPr>
          <w:rFonts w:ascii="Arial" w:hAnsi="Arial" w:cs="Arial"/>
          <w:color w:val="1F1E1E"/>
          <w:spacing w:val="-2"/>
          <w:sz w:val="20"/>
          <w:szCs w:val="20"/>
        </w:rPr>
        <w:t xml:space="preserve"> </w:t>
      </w:r>
      <w:r w:rsidRPr="00F741DB">
        <w:rPr>
          <w:rFonts w:ascii="Arial" w:hAnsi="Arial" w:cs="Arial"/>
          <w:color w:val="1F1E1E"/>
          <w:sz w:val="20"/>
          <w:szCs w:val="20"/>
        </w:rPr>
        <w:t>Postmortem</w:t>
      </w:r>
      <w:r w:rsidRPr="00F741DB">
        <w:rPr>
          <w:rFonts w:ascii="Arial" w:hAnsi="Arial" w:cs="Arial"/>
          <w:color w:val="1F1E1E"/>
          <w:spacing w:val="-3"/>
          <w:sz w:val="20"/>
          <w:szCs w:val="20"/>
        </w:rPr>
        <w:t xml:space="preserve"> </w:t>
      </w:r>
      <w:r w:rsidRPr="00F741DB">
        <w:rPr>
          <w:rFonts w:ascii="Arial" w:hAnsi="Arial" w:cs="Arial"/>
          <w:color w:val="1F1E1E"/>
          <w:sz w:val="20"/>
          <w:szCs w:val="20"/>
        </w:rPr>
        <w:t>Blood</w:t>
      </w:r>
      <w:r w:rsidRPr="00F741DB">
        <w:rPr>
          <w:rFonts w:ascii="Arial" w:hAnsi="Arial" w:cs="Arial"/>
          <w:color w:val="1F1E1E"/>
          <w:spacing w:val="-3"/>
          <w:sz w:val="20"/>
          <w:szCs w:val="20"/>
        </w:rPr>
        <w:t xml:space="preserve"> </w:t>
      </w:r>
      <w:r w:rsidRPr="00F741DB">
        <w:rPr>
          <w:rFonts w:ascii="Arial" w:hAnsi="Arial" w:cs="Arial"/>
          <w:color w:val="1F1E1E"/>
          <w:sz w:val="20"/>
          <w:szCs w:val="20"/>
        </w:rPr>
        <w:t>by UPLC–MS-MS, J. Anal Toxicol, 36, 319–326 (2012)</w:t>
      </w:r>
    </w:p>
    <w:sectPr w:rsidR="00C96249" w:rsidRPr="00F741DB" w:rsidSect="008C1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7F4"/>
    <w:multiLevelType w:val="multilevel"/>
    <w:tmpl w:val="F12CA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9242B"/>
    <w:multiLevelType w:val="hybridMultilevel"/>
    <w:tmpl w:val="3306ED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C0A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EF70F8"/>
    <w:multiLevelType w:val="hybridMultilevel"/>
    <w:tmpl w:val="4682446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D62FC3"/>
    <w:multiLevelType w:val="multilevel"/>
    <w:tmpl w:val="F67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94AE4"/>
    <w:multiLevelType w:val="hybridMultilevel"/>
    <w:tmpl w:val="B36CC2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D85458"/>
    <w:multiLevelType w:val="multilevel"/>
    <w:tmpl w:val="9E28D2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246D2"/>
    <w:multiLevelType w:val="hybridMultilevel"/>
    <w:tmpl w:val="597ECCA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E37C39"/>
    <w:multiLevelType w:val="multilevel"/>
    <w:tmpl w:val="46269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D740A"/>
    <w:multiLevelType w:val="multilevel"/>
    <w:tmpl w:val="FD42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52004F"/>
    <w:multiLevelType w:val="multilevel"/>
    <w:tmpl w:val="2026B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13269">
    <w:abstractNumId w:val="3"/>
  </w:num>
  <w:num w:numId="2" w16cid:durableId="1321500052">
    <w:abstractNumId w:val="9"/>
  </w:num>
  <w:num w:numId="3" w16cid:durableId="831868084">
    <w:abstractNumId w:val="9"/>
    <w:lvlOverride w:ilvl="1">
      <w:lvl w:ilvl="1">
        <w:numFmt w:val="bullet"/>
        <w:lvlText w:val=""/>
        <w:lvlJc w:val="left"/>
        <w:pPr>
          <w:tabs>
            <w:tab w:val="num" w:pos="1440"/>
          </w:tabs>
          <w:ind w:left="1440" w:hanging="360"/>
        </w:pPr>
        <w:rPr>
          <w:rFonts w:ascii="Symbol" w:hAnsi="Symbol" w:hint="default"/>
          <w:sz w:val="20"/>
        </w:rPr>
      </w:lvl>
    </w:lvlOverride>
  </w:num>
  <w:num w:numId="4" w16cid:durableId="1589001092">
    <w:abstractNumId w:val="5"/>
  </w:num>
  <w:num w:numId="5" w16cid:durableId="41101483">
    <w:abstractNumId w:val="8"/>
  </w:num>
  <w:num w:numId="6" w16cid:durableId="646663265">
    <w:abstractNumId w:val="0"/>
  </w:num>
  <w:num w:numId="7" w16cid:durableId="1436556637">
    <w:abstractNumId w:val="2"/>
  </w:num>
  <w:num w:numId="8" w16cid:durableId="1880123597">
    <w:abstractNumId w:val="6"/>
  </w:num>
  <w:num w:numId="9" w16cid:durableId="1691099945">
    <w:abstractNumId w:val="4"/>
  </w:num>
  <w:num w:numId="10" w16cid:durableId="1257708335">
    <w:abstractNumId w:val="1"/>
  </w:num>
  <w:num w:numId="11" w16cid:durableId="1835605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DB"/>
    <w:rsid w:val="00225A5C"/>
    <w:rsid w:val="00337F74"/>
    <w:rsid w:val="003C6400"/>
    <w:rsid w:val="003D3E02"/>
    <w:rsid w:val="005F407F"/>
    <w:rsid w:val="006828E1"/>
    <w:rsid w:val="008C1B76"/>
    <w:rsid w:val="00905221"/>
    <w:rsid w:val="00AB3D34"/>
    <w:rsid w:val="00B049A9"/>
    <w:rsid w:val="00B715E8"/>
    <w:rsid w:val="00C96249"/>
    <w:rsid w:val="00D23C90"/>
    <w:rsid w:val="00D74A79"/>
    <w:rsid w:val="00F741DB"/>
    <w:rsid w:val="00FB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11DE"/>
  <w15:docId w15:val="{4BBDBC7B-0408-495B-BC01-551381C4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5A5C"/>
    <w:pPr>
      <w:spacing w:before="100" w:beforeAutospacing="1" w:after="100" w:afterAutospacing="1"/>
    </w:pPr>
    <w:rPr>
      <w:rFonts w:ascii="Times New Roman" w:eastAsia="Times New Roman" w:hAnsi="Times New Roman" w:cs="Times New Roman"/>
    </w:rPr>
  </w:style>
  <w:style w:type="paragraph" w:styleId="Textoindependiente">
    <w:name w:val="Body Text"/>
    <w:basedOn w:val="Normal"/>
    <w:link w:val="TextoindependienteCar"/>
    <w:uiPriority w:val="1"/>
    <w:qFormat/>
    <w:rsid w:val="00225A5C"/>
    <w:pPr>
      <w:widowControl w:val="0"/>
      <w:autoSpaceDE w:val="0"/>
      <w:autoSpaceDN w:val="0"/>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1"/>
    <w:rsid w:val="00225A5C"/>
    <w:rPr>
      <w:rFonts w:ascii="Times New Roman" w:eastAsia="Times New Roman" w:hAnsi="Times New Roman" w:cs="Times New Roman"/>
    </w:rPr>
  </w:style>
  <w:style w:type="paragraph" w:styleId="Prrafodelista">
    <w:name w:val="List Paragraph"/>
    <w:basedOn w:val="Normal"/>
    <w:uiPriority w:val="34"/>
    <w:qFormat/>
    <w:rsid w:val="00225A5C"/>
    <w:pPr>
      <w:ind w:left="720"/>
      <w:contextualSpacing/>
    </w:pPr>
  </w:style>
  <w:style w:type="paragraph" w:customStyle="1" w:styleId="Default">
    <w:name w:val="Default"/>
    <w:rsid w:val="003C640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52467">
      <w:bodyDiv w:val="1"/>
      <w:marLeft w:val="0"/>
      <w:marRight w:val="0"/>
      <w:marTop w:val="0"/>
      <w:marBottom w:val="0"/>
      <w:divBdr>
        <w:top w:val="none" w:sz="0" w:space="0" w:color="auto"/>
        <w:left w:val="none" w:sz="0" w:space="0" w:color="auto"/>
        <w:bottom w:val="none" w:sz="0" w:space="0" w:color="auto"/>
        <w:right w:val="none" w:sz="0" w:space="0" w:color="auto"/>
      </w:divBdr>
    </w:div>
    <w:div w:id="2116900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avarro\Dropbox\COORDINACION%20COIFFA%20INVEST\Ayuda%20red%20AUIP\PUERTO%20RICO\Universidad%20de%20Puerto%20Rico\CV%20Joseph%20Bloom%20brev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Joseph Bloom breve</Template>
  <TotalTime>11</TotalTime>
  <Pages>1</Pages>
  <Words>415</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 Daniela Vanesa</dc:creator>
  <cp:keywords/>
  <dc:description/>
  <cp:lastModifiedBy>Navarro , Daniela Vanesa</cp:lastModifiedBy>
  <cp:revision>4</cp:revision>
  <dcterms:created xsi:type="dcterms:W3CDTF">2026-02-04T17:11:00Z</dcterms:created>
  <dcterms:modified xsi:type="dcterms:W3CDTF">2026-02-09T11:20:00Z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9b0f6068-6769-4bf3-afae-197c98a27871</vt:lpwstr>
  </property>
</Properties>
</file>