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4EF" w14:textId="77777777" w:rsidR="00A90D22" w:rsidRPr="009B08F3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9B08F3">
        <w:rPr>
          <w:rFonts w:ascii="Arial" w:hAnsi="Arial" w:cs="Arial"/>
          <w:b/>
          <w:bCs/>
          <w:sz w:val="20"/>
          <w:szCs w:val="20"/>
        </w:rPr>
        <w:t>INTEGRANTES</w:t>
      </w:r>
    </w:p>
    <w:p w14:paraId="67F51BDE" w14:textId="36951949" w:rsidR="00A90D22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173125" w14:textId="10F7E249" w:rsidR="009B6DA9" w:rsidRDefault="009B6DA9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4DE50D" wp14:editId="19E3CEA5">
            <wp:simplePos x="0" y="0"/>
            <wp:positionH relativeFrom="column">
              <wp:posOffset>1311910</wp:posOffset>
            </wp:positionH>
            <wp:positionV relativeFrom="paragraph">
              <wp:posOffset>15516</wp:posOffset>
            </wp:positionV>
            <wp:extent cx="861060" cy="538480"/>
            <wp:effectExtent l="0" t="0" r="0" b="0"/>
            <wp:wrapNone/>
            <wp:docPr id="581881986" name="Imagen 2" descr="Bandera de la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ra de la Arge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6106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4849D" w14:textId="0E4BC6D2" w:rsidR="00A90D22" w:rsidRPr="009B08F3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9B08F3">
        <w:rPr>
          <w:rFonts w:ascii="Arial" w:hAnsi="Arial" w:cs="Arial"/>
          <w:b/>
          <w:bCs/>
          <w:sz w:val="20"/>
          <w:szCs w:val="20"/>
        </w:rPr>
        <w:t xml:space="preserve">ARGENTINA </w:t>
      </w:r>
      <w:r w:rsidR="00A07B9B" w:rsidRPr="009B08F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698285" w14:textId="50D99D99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D0DFA" w14:textId="4E06ED1E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67A9480" w14:textId="77777777" w:rsidR="00855D26" w:rsidRDefault="00855D26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0BC73D" w14:textId="6490C0F2" w:rsidR="00A90D22" w:rsidRPr="009B08F3" w:rsidRDefault="00A07B9B" w:rsidP="009B08F3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241EE6" w:rsidRPr="005026FC">
        <w:rPr>
          <w:noProof/>
        </w:rPr>
        <w:drawing>
          <wp:inline distT="0" distB="0" distL="0" distR="0" wp14:anchorId="148D543F" wp14:editId="3F9FB6D8">
            <wp:extent cx="727229" cy="402116"/>
            <wp:effectExtent l="0" t="0" r="0" b="0"/>
            <wp:docPr id="2083797643" name="Imagen 1" descr="Pizar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797643" name="Imagen 1" descr="Pizarr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853" cy="41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EE6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9B08F3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A90D22" w:rsidRPr="009B08F3">
        <w:rPr>
          <w:rFonts w:ascii="Arial" w:hAnsi="Arial" w:cs="Arial"/>
          <w:b/>
          <w:bCs/>
          <w:sz w:val="20"/>
          <w:szCs w:val="20"/>
        </w:rPr>
        <w:t xml:space="preserve">UNIVERSIDAD NACIONAL DE </w:t>
      </w:r>
      <w:r w:rsidR="00706E16" w:rsidRPr="009B08F3">
        <w:rPr>
          <w:rFonts w:ascii="Arial" w:hAnsi="Arial" w:cs="Arial"/>
          <w:b/>
          <w:bCs/>
          <w:sz w:val="20"/>
          <w:szCs w:val="20"/>
        </w:rPr>
        <w:t>CORDOBA</w:t>
      </w:r>
      <w:r w:rsidR="009B6DA9" w:rsidRPr="009B08F3">
        <w:rPr>
          <w:rFonts w:ascii="Arial" w:hAnsi="Arial" w:cs="Arial"/>
          <w:b/>
          <w:bCs/>
          <w:sz w:val="20"/>
          <w:szCs w:val="20"/>
        </w:rPr>
        <w:t xml:space="preserve"> (UN</w:t>
      </w:r>
      <w:r w:rsidR="00706E16" w:rsidRPr="009B08F3">
        <w:rPr>
          <w:rFonts w:ascii="Arial" w:hAnsi="Arial" w:cs="Arial"/>
          <w:b/>
          <w:bCs/>
          <w:sz w:val="20"/>
          <w:szCs w:val="20"/>
        </w:rPr>
        <w:t>C</w:t>
      </w:r>
      <w:r w:rsidR="009B6DA9" w:rsidRPr="009B08F3">
        <w:rPr>
          <w:rFonts w:ascii="Arial" w:hAnsi="Arial" w:cs="Arial"/>
          <w:b/>
          <w:bCs/>
          <w:sz w:val="20"/>
          <w:szCs w:val="20"/>
        </w:rPr>
        <w:t>)</w:t>
      </w:r>
    </w:p>
    <w:p w14:paraId="2F591FAC" w14:textId="6CDC3066" w:rsidR="00A90D22" w:rsidRPr="009B08F3" w:rsidRDefault="00A90D22" w:rsidP="009B08F3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C93B540" w14:textId="6D713BAD" w:rsidR="009B6DA9" w:rsidRPr="009B08F3" w:rsidRDefault="00A90D22" w:rsidP="009B08F3">
      <w:pPr>
        <w:pStyle w:val="Prrafodelista"/>
        <w:tabs>
          <w:tab w:val="left" w:pos="2268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9B08F3">
        <w:rPr>
          <w:rFonts w:ascii="Arial" w:hAnsi="Arial" w:cs="Arial"/>
          <w:b/>
          <w:bCs/>
          <w:sz w:val="20"/>
          <w:szCs w:val="20"/>
        </w:rPr>
        <w:tab/>
      </w:r>
    </w:p>
    <w:p w14:paraId="0296DB0C" w14:textId="69A1D7BC" w:rsidR="009658B3" w:rsidRPr="009B08F3" w:rsidRDefault="007A0EE5" w:rsidP="009B08F3">
      <w:pPr>
        <w:pStyle w:val="Prrafodelista"/>
        <w:tabs>
          <w:tab w:val="left" w:pos="2268"/>
        </w:tabs>
        <w:spacing w:after="0" w:line="240" w:lineRule="auto"/>
        <w:ind w:left="-142"/>
        <w:jc w:val="both"/>
        <w:rPr>
          <w:rFonts w:ascii="Arial" w:hAnsi="Arial" w:cs="Arial"/>
          <w:b/>
          <w:bCs/>
          <w:sz w:val="20"/>
          <w:szCs w:val="20"/>
        </w:rPr>
      </w:pPr>
      <w:r w:rsidRPr="009B08F3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613F1E" wp14:editId="25F705A3">
                <wp:simplePos x="0" y="0"/>
                <wp:positionH relativeFrom="column">
                  <wp:posOffset>142737</wp:posOffset>
                </wp:positionH>
                <wp:positionV relativeFrom="paragraph">
                  <wp:posOffset>66644</wp:posOffset>
                </wp:positionV>
                <wp:extent cx="1063128" cy="1333041"/>
                <wp:effectExtent l="0" t="0" r="3810" b="635"/>
                <wp:wrapNone/>
                <wp:docPr id="11072942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128" cy="1333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E70F0B" w14:textId="0AAF21D9" w:rsidR="00FB7023" w:rsidRDefault="00E9501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7BB231DC" wp14:editId="19917C0C">
                                  <wp:extent cx="886857" cy="951658"/>
                                  <wp:effectExtent l="0" t="0" r="8890" b="1270"/>
                                  <wp:docPr id="1" name="Imagen 1" descr="Mujer sonriendo con lente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Mujer sonriendo con lentes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1571" cy="956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2613F1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1.25pt;margin-top:5.25pt;width:83.7pt;height:104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" fillcolor="white [3201]" stroked="f" strokeweight=".5pt">
                <v:textbox>
                  <w:txbxContent>
                    <w:p w14:paraId="7BE70F0B" w14:textId="0AAF21D9" w:rsidR="00FB7023" w:rsidRDefault="00E9501C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7BB231DC" wp14:editId="19917C0C">
                            <wp:extent cx="886857" cy="951658"/>
                            <wp:effectExtent l="0" t="0" r="8890" b="1270"/>
                            <wp:docPr id="1" name="Imagen 1" descr="Mujer sonriendo con lente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Mujer sonriendo con lentes&#10;&#10;El contenido generado por IA puede ser incorrecto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1571" cy="956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7CC1" w:rsidRPr="009B08F3">
        <w:rPr>
          <w:rFonts w:ascii="Arial" w:hAnsi="Arial" w:cs="Arial"/>
          <w:b/>
          <w:bCs/>
          <w:sz w:val="20"/>
          <w:szCs w:val="20"/>
        </w:rPr>
        <w:tab/>
      </w:r>
      <w:r w:rsidR="00A14EA0" w:rsidRPr="009B08F3">
        <w:rPr>
          <w:rFonts w:ascii="Arial" w:hAnsi="Arial" w:cs="Arial"/>
          <w:b/>
          <w:bCs/>
          <w:sz w:val="20"/>
          <w:szCs w:val="20"/>
        </w:rPr>
        <w:t xml:space="preserve">María </w:t>
      </w:r>
      <w:r w:rsidR="0064078C" w:rsidRPr="009B08F3">
        <w:rPr>
          <w:rFonts w:ascii="Arial" w:hAnsi="Arial" w:cs="Arial"/>
          <w:b/>
          <w:bCs/>
          <w:sz w:val="20"/>
          <w:szCs w:val="20"/>
        </w:rPr>
        <w:t>Laura</w:t>
      </w:r>
      <w:r w:rsidR="00241EE6" w:rsidRPr="009B08F3">
        <w:rPr>
          <w:rFonts w:ascii="Arial" w:hAnsi="Arial" w:cs="Arial"/>
          <w:b/>
          <w:bCs/>
          <w:sz w:val="20"/>
          <w:szCs w:val="20"/>
        </w:rPr>
        <w:t xml:space="preserve"> </w:t>
      </w:r>
      <w:r w:rsidR="00A14EA0" w:rsidRPr="009B08F3">
        <w:rPr>
          <w:rFonts w:ascii="Arial" w:hAnsi="Arial" w:cs="Arial"/>
          <w:b/>
          <w:bCs/>
          <w:sz w:val="20"/>
          <w:szCs w:val="20"/>
        </w:rPr>
        <w:t>GUZMAN</w:t>
      </w:r>
    </w:p>
    <w:p w14:paraId="65FB67C5" w14:textId="586853FD" w:rsidR="007B05A1" w:rsidRPr="009B08F3" w:rsidRDefault="007A0EE5" w:rsidP="009B08F3">
      <w:pPr>
        <w:pStyle w:val="NormalWeb"/>
        <w:tabs>
          <w:tab w:val="left" w:pos="2268"/>
        </w:tabs>
        <w:spacing w:before="0" w:beforeAutospacing="0" w:after="0" w:afterAutospacing="0"/>
        <w:ind w:left="2124"/>
        <w:jc w:val="both"/>
        <w:rPr>
          <w:rStyle w:val="Hipervnculo"/>
          <w:rFonts w:ascii="Arial" w:hAnsi="Arial" w:cs="Arial"/>
          <w:color w:val="auto"/>
          <w:sz w:val="20"/>
          <w:szCs w:val="20"/>
          <w:u w:val="none"/>
          <w:lang w:val="es-AR"/>
        </w:rPr>
      </w:pPr>
      <w:r w:rsidRPr="009B08F3">
        <w:rPr>
          <w:rFonts w:ascii="Arial" w:hAnsi="Arial" w:cs="Arial"/>
          <w:sz w:val="20"/>
          <w:szCs w:val="20"/>
          <w:lang w:val="es-AR"/>
        </w:rPr>
        <w:t xml:space="preserve">Farmacéutica </w:t>
      </w:r>
      <w:r w:rsidR="004849A3" w:rsidRPr="009B08F3">
        <w:rPr>
          <w:rFonts w:ascii="Arial" w:hAnsi="Arial" w:cs="Arial"/>
          <w:sz w:val="20"/>
          <w:szCs w:val="20"/>
          <w:lang w:val="es-AR"/>
        </w:rPr>
        <w:t xml:space="preserve">– Dra. En Ciencias Químicas. Actualmente es Investigadora Adjunta y Profesora Adjunta. Se desempeña en la Unidad de Investigación y Desarrollo en Tecnología Farmacéutica (UNITEFA), CONICET y Departamento de Ciencias Farmacéuticas, Facultad de Ciencias Químicas, Universidad Nacional de Córdoba (Argentina).  Su trabajo se centra en el desarrollo y evaluación de tecnologías farmacéuticas. Es docente de la asignatura </w:t>
      </w:r>
      <w:proofErr w:type="spellStart"/>
      <w:r w:rsidR="004849A3" w:rsidRPr="009B08F3">
        <w:rPr>
          <w:rFonts w:ascii="Arial" w:hAnsi="Arial" w:cs="Arial"/>
          <w:sz w:val="20"/>
          <w:szCs w:val="20"/>
          <w:lang w:val="es-AR"/>
        </w:rPr>
        <w:t>Farmacotecnia</w:t>
      </w:r>
      <w:proofErr w:type="spellEnd"/>
      <w:r w:rsidR="004849A3" w:rsidRPr="009B08F3">
        <w:rPr>
          <w:rFonts w:ascii="Arial" w:hAnsi="Arial" w:cs="Arial"/>
          <w:sz w:val="20"/>
          <w:szCs w:val="20"/>
          <w:lang w:val="es-AR"/>
        </w:rPr>
        <w:t xml:space="preserve"> I de la carrera de Farmacia (FCQ-UNC). </w:t>
      </w:r>
      <w:hyperlink r:id="rId9" w:history="1">
        <w:r w:rsidR="00E15B8A" w:rsidRPr="009B08F3">
          <w:rPr>
            <w:rStyle w:val="Hipervnculo"/>
            <w:rFonts w:ascii="Arial" w:hAnsi="Arial" w:cs="Arial"/>
            <w:sz w:val="20"/>
            <w:szCs w:val="20"/>
            <w:lang w:val="es-AR"/>
          </w:rPr>
          <w:t>lguzman@</w:t>
        </w:r>
      </w:hyperlink>
      <w:r w:rsidR="00854602" w:rsidRPr="009B08F3">
        <w:rPr>
          <w:rStyle w:val="Hipervnculo"/>
          <w:rFonts w:ascii="Arial" w:hAnsi="Arial" w:cs="Arial"/>
          <w:sz w:val="20"/>
          <w:szCs w:val="20"/>
          <w:lang w:val="es-AR"/>
        </w:rPr>
        <w:t>unc.edu.ar</w:t>
      </w:r>
    </w:p>
    <w:p w14:paraId="61966CB7" w14:textId="77777777" w:rsidR="007B05A1" w:rsidRPr="009B08F3" w:rsidRDefault="007B05A1" w:rsidP="009B08F3">
      <w:pPr>
        <w:pStyle w:val="NormalWeb"/>
        <w:tabs>
          <w:tab w:val="left" w:pos="2268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AR"/>
        </w:rPr>
      </w:pPr>
    </w:p>
    <w:p w14:paraId="2A0A0427" w14:textId="71C4A0D5" w:rsidR="00903522" w:rsidRPr="009B08F3" w:rsidRDefault="009B08F3" w:rsidP="009B08F3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9B08F3">
        <w:rPr>
          <w:rFonts w:ascii="Arial" w:hAnsi="Arial" w:cs="Arial"/>
          <w:b/>
          <w:bCs/>
          <w:sz w:val="20"/>
          <w:szCs w:val="20"/>
        </w:rPr>
        <w:t>PROYECTOS EN DESARROLLO</w:t>
      </w:r>
    </w:p>
    <w:p w14:paraId="26F6FBD8" w14:textId="77777777" w:rsidR="009F6D7B" w:rsidRPr="009B08F3" w:rsidRDefault="00A00EB4" w:rsidP="009B08F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AR"/>
        </w:rPr>
      </w:pPr>
      <w:r w:rsidRPr="009B08F3">
        <w:rPr>
          <w:rFonts w:ascii="Arial" w:hAnsi="Arial" w:cs="Arial"/>
          <w:sz w:val="20"/>
          <w:szCs w:val="20"/>
          <w:lang w:val="es-AR"/>
        </w:rPr>
        <w:t>-</w:t>
      </w:r>
      <w:r w:rsidR="009F6D7B" w:rsidRPr="009B08F3">
        <w:rPr>
          <w:rFonts w:ascii="Arial" w:hAnsi="Arial" w:cs="Arial"/>
          <w:color w:val="000000"/>
          <w:sz w:val="20"/>
          <w:szCs w:val="20"/>
          <w:lang w:val="es-AR"/>
        </w:rPr>
        <w:t xml:space="preserve">Desarrollo y evaluación de formulaciones tópicas para tratamiento de leishmaniasis cutánea utilizando materiales polielectrolito fármacos bifosfonatos. Directora: </w:t>
      </w:r>
      <w:proofErr w:type="spellStart"/>
      <w:r w:rsidR="009F6D7B" w:rsidRPr="009B08F3">
        <w:rPr>
          <w:rFonts w:ascii="Arial" w:hAnsi="Arial" w:cs="Arial"/>
          <w:color w:val="000000"/>
          <w:sz w:val="20"/>
          <w:szCs w:val="20"/>
          <w:lang w:val="es-AR"/>
        </w:rPr>
        <w:t>Guzman,Ma</w:t>
      </w:r>
      <w:proofErr w:type="spellEnd"/>
      <w:r w:rsidR="009F6D7B" w:rsidRPr="009B08F3">
        <w:rPr>
          <w:rFonts w:ascii="Arial" w:hAnsi="Arial" w:cs="Arial"/>
          <w:color w:val="000000"/>
          <w:sz w:val="20"/>
          <w:szCs w:val="20"/>
          <w:lang w:val="es-AR"/>
        </w:rPr>
        <w:t xml:space="preserve"> Laura.. Convocatoria: CONICET PIBAA 2022-2023. Financiadores: CONICET Resolución CONICET: 1930/2022-APN-DIR#CONICET. Fecha: 2022-2023</w:t>
      </w:r>
    </w:p>
    <w:p w14:paraId="6C285027" w14:textId="28A82B23" w:rsidR="009F6D7B" w:rsidRPr="009B08F3" w:rsidRDefault="009F6D7B" w:rsidP="009B08F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AR"/>
        </w:rPr>
      </w:pPr>
      <w:r w:rsidRPr="009B08F3">
        <w:rPr>
          <w:rFonts w:ascii="Arial" w:hAnsi="Arial" w:cs="Arial"/>
          <w:color w:val="000000"/>
          <w:sz w:val="20"/>
          <w:szCs w:val="20"/>
          <w:lang w:val="es-AR"/>
        </w:rPr>
        <w:t xml:space="preserve">-Innovación aplicada al desarrollo de medicamentos huérfanos: optimización de </w:t>
      </w:r>
      <w:proofErr w:type="spellStart"/>
      <w:r w:rsidRPr="009B08F3">
        <w:rPr>
          <w:rFonts w:ascii="Arial" w:hAnsi="Arial" w:cs="Arial"/>
          <w:color w:val="000000"/>
          <w:sz w:val="20"/>
          <w:szCs w:val="20"/>
          <w:lang w:val="es-AR"/>
        </w:rPr>
        <w:t>histidinato</w:t>
      </w:r>
      <w:proofErr w:type="spellEnd"/>
      <w:r w:rsidRPr="009B08F3">
        <w:rPr>
          <w:rFonts w:ascii="Arial" w:hAnsi="Arial" w:cs="Arial"/>
          <w:color w:val="000000"/>
          <w:sz w:val="20"/>
          <w:szCs w:val="20"/>
          <w:lang w:val="es-AR"/>
        </w:rPr>
        <w:t xml:space="preserve"> de cobre inyectable para el tratamiento de la enfermedad de Menkes. </w:t>
      </w:r>
      <w:proofErr w:type="spellStart"/>
      <w:r w:rsidRPr="009B08F3">
        <w:rPr>
          <w:rFonts w:ascii="Arial" w:hAnsi="Arial" w:cs="Arial"/>
          <w:color w:val="000000"/>
          <w:sz w:val="20"/>
          <w:szCs w:val="20"/>
          <w:lang w:val="es-AR"/>
        </w:rPr>
        <w:t>MINCyT</w:t>
      </w:r>
      <w:proofErr w:type="spellEnd"/>
      <w:r w:rsidRPr="009B08F3">
        <w:rPr>
          <w:rFonts w:ascii="Arial" w:hAnsi="Arial" w:cs="Arial"/>
          <w:color w:val="000000"/>
          <w:sz w:val="20"/>
          <w:szCs w:val="20"/>
          <w:lang w:val="es-AR"/>
        </w:rPr>
        <w:t>-PFI 2023. Directora: Dra. ME Olivera. Institución demandante: Hospital Nacional de Clínicas, FCM-UNC. Función: Investigadora: colaboración en diseño de ensayos y análisis de resultados. </w:t>
      </w:r>
    </w:p>
    <w:p w14:paraId="6197DB55" w14:textId="568BB24F" w:rsidR="009F6D7B" w:rsidRPr="009B08F3" w:rsidRDefault="009F6D7B" w:rsidP="009B08F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AR"/>
        </w:rPr>
      </w:pPr>
      <w:r w:rsidRPr="009B08F3">
        <w:rPr>
          <w:rFonts w:ascii="Arial" w:hAnsi="Arial" w:cs="Arial"/>
          <w:color w:val="000000"/>
          <w:sz w:val="20"/>
          <w:szCs w:val="20"/>
          <w:lang w:val="es-AR"/>
        </w:rPr>
        <w:t>-I+D de plataformas tecnológicas de nanoestructuras y formulaciones inteligentes basadas en polielectrolitos portadores. CONICET-PIP DD787. Directora: Dra. María Eugenia Olivera. Función: integrante del grupo responsable.</w:t>
      </w:r>
    </w:p>
    <w:p w14:paraId="19C62CC4" w14:textId="48445D4F" w:rsidR="009F6D7B" w:rsidRPr="009B08F3" w:rsidRDefault="009F6D7B" w:rsidP="009B08F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s-AR"/>
        </w:rPr>
      </w:pPr>
      <w:r w:rsidRPr="009B08F3">
        <w:rPr>
          <w:rFonts w:ascii="Arial" w:hAnsi="Arial" w:cs="Arial"/>
          <w:color w:val="000000"/>
          <w:sz w:val="20"/>
          <w:szCs w:val="20"/>
        </w:rPr>
        <w:t xml:space="preserve">-Multifunctional nanocarriers for nonlinear microscopy: new tools for biology and medicine. </w:t>
      </w:r>
      <w:r w:rsidRPr="009B08F3">
        <w:rPr>
          <w:rFonts w:ascii="Arial" w:hAnsi="Arial" w:cs="Arial"/>
          <w:color w:val="000000"/>
          <w:sz w:val="20"/>
          <w:szCs w:val="20"/>
          <w:lang w:val="es-AR"/>
        </w:rPr>
        <w:t>Programa Horizonte 2020. Coordinadora: Cristina Sissa (Universidad de Parma, Italia). Función: Investigadora del grupo UNC-Argentina.</w:t>
      </w:r>
    </w:p>
    <w:p w14:paraId="42451280" w14:textId="0596CF77" w:rsidR="002E072C" w:rsidRPr="009B08F3" w:rsidRDefault="002E072C" w:rsidP="009B08F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AR"/>
        </w:rPr>
      </w:pPr>
    </w:p>
    <w:p w14:paraId="6B99BD4F" w14:textId="1F5AFE19" w:rsidR="006B2056" w:rsidRPr="009B08F3" w:rsidRDefault="00414261" w:rsidP="009B08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B08F3">
        <w:rPr>
          <w:rFonts w:ascii="Arial" w:hAnsi="Arial" w:cs="Arial"/>
          <w:b/>
          <w:sz w:val="20"/>
          <w:szCs w:val="20"/>
        </w:rPr>
        <w:t>PUBLICACIONES</w:t>
      </w:r>
      <w:r w:rsidRPr="009B08F3">
        <w:rPr>
          <w:rFonts w:ascii="Arial" w:hAnsi="Arial" w:cs="Arial"/>
          <w:bCs/>
          <w:sz w:val="20"/>
          <w:szCs w:val="20"/>
        </w:rPr>
        <w:t xml:space="preserve"> </w:t>
      </w:r>
    </w:p>
    <w:p w14:paraId="5AEF47A4" w14:textId="77777777" w:rsidR="00DD4A56" w:rsidRPr="009B08F3" w:rsidRDefault="00ED7A2B" w:rsidP="009B08F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-</w:t>
      </w:r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Guzman ML, Barbieri F, Luciani-Giacobbe LC, Inga CM, Bustos-Fierro C, </w:t>
      </w:r>
      <w:proofErr w:type="spellStart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Gavelli</w:t>
      </w:r>
      <w:proofErr w:type="spellEnd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ME, </w:t>
      </w:r>
      <w:proofErr w:type="spellStart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Apas</w:t>
      </w:r>
      <w:proofErr w:type="spellEnd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AL, </w:t>
      </w:r>
      <w:proofErr w:type="spellStart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Alovero</w:t>
      </w:r>
      <w:proofErr w:type="spellEnd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FDL, </w:t>
      </w:r>
      <w:proofErr w:type="spellStart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Gasparotto</w:t>
      </w:r>
      <w:proofErr w:type="spellEnd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AM, Olivera ME. </w:t>
      </w:r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Overcoming barriers in Menkes disease: A standardized high quality and stable injectable copper </w:t>
      </w:r>
      <w:proofErr w:type="spellStart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histidinate</w:t>
      </w:r>
      <w:proofErr w:type="spellEnd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J Pharm Sci. 2025 Jun;114(6):103722. </w:t>
      </w:r>
      <w:proofErr w:type="spellStart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doi</w:t>
      </w:r>
      <w:proofErr w:type="spellEnd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: 10.1016/j.xphs.2025.103722. </w:t>
      </w:r>
      <w:proofErr w:type="spellStart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Epub</w:t>
      </w:r>
      <w:proofErr w:type="spellEnd"/>
      <w:r w:rsidR="00DD4A56"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2025 Mar 11. PMID: 40081494.</w:t>
      </w:r>
    </w:p>
    <w:p w14:paraId="289C56D7" w14:textId="54C4B976" w:rsidR="00DD4A56" w:rsidRPr="009B08F3" w:rsidRDefault="00DD4A56" w:rsidP="009B08F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-Guzman, ML, Peralta MF, Quipildor M, Papera F, Mejía E,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Lauthier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JJ, Bono M , Barroso PA, Olivera ME, and Carrer DC. 2023. </w:t>
      </w:r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A Case of Cutaneous Leishmaniasis Cured by a Combined Treatment of Topical Miltefosine and Injectable Amphotericin B. Precision Nanomedicine 6 (4): 1179–91. https:/​/​doi.org/​10.33218/​001c.90983. </w:t>
      </w:r>
    </w:p>
    <w:p w14:paraId="10BC3E0A" w14:textId="1A0BB59E" w:rsidR="00DD4A56" w:rsidRPr="009B08F3" w:rsidRDefault="00DD4A56" w:rsidP="009B08F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-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Sanchez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, MF,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Guzman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ML, Flores-Martín J, Cruz Del Puerto M, Laino M, Soria E, Donadio AC, Genti-Raimondi S Olivera ME. </w:t>
      </w:r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Ionic complexation improves wound healing in deep second-degree burns and reduces in-vitro ciprofloxacin cytotoxicity in fibroblasts.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Scientific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Reports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. 2022. 12:16035. https://doi.org/10.1038/s41598-022-19969-w 4. 2022. </w:t>
      </w:r>
    </w:p>
    <w:p w14:paraId="20A4C77F" w14:textId="4E432864" w:rsidR="00DD4A56" w:rsidRPr="009B08F3" w:rsidRDefault="00DD4A56" w:rsidP="009B08F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-Peralta MF,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>Usseglio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NA, Bracamonte ME, Guzmán ML, Olivera ME, Marco JD, Barroso PA, Carrer DC. </w:t>
      </w:r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Efficacy of topical Miltefosine formulations in an experimental model of cutaneous leishmaniasis. Drug Deliv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Transl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Res. 2022 Jan;12(1):180-196.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doi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: 10.1007/s13346-021-00896-8.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Epub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2021 Jan 27. PMID: 33502733.</w:t>
      </w:r>
    </w:p>
    <w:p w14:paraId="42310C44" w14:textId="0433C1DB" w:rsidR="00164B6A" w:rsidRPr="009B08F3" w:rsidRDefault="00DD4A56" w:rsidP="009B08F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-Guzman ML*, Peralta MF* (contributed equally), Bracamonte ME, J. Marco D, Olivera ME, Carrer D and Barroso PA. Efficacy of Risedronate and Risedronate – Eudragit E complex in a mouse model of cutaneous leishmaniasis induced by Leishmania (Leishmania)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amazonensis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Heliyon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7 e07136. </w:t>
      </w:r>
      <w:proofErr w:type="spellStart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DOI:https</w:t>
      </w:r>
      <w:proofErr w:type="spellEnd"/>
      <w:r w:rsidRPr="009B08F3">
        <w:rPr>
          <w:rFonts w:ascii="Arial" w:hAnsi="Arial" w:cs="Arial"/>
          <w:color w:val="000000" w:themeColor="text1"/>
          <w:sz w:val="20"/>
          <w:szCs w:val="20"/>
          <w:lang w:val="en-US"/>
        </w:rPr>
        <w:t>://doi.org/10.1016/j.heliyon.2021.e07136.</w:t>
      </w:r>
    </w:p>
    <w:sectPr w:rsidR="00164B6A" w:rsidRPr="009B08F3" w:rsidSect="009B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8EB"/>
    <w:multiLevelType w:val="multilevel"/>
    <w:tmpl w:val="BCF0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93E57"/>
    <w:multiLevelType w:val="multilevel"/>
    <w:tmpl w:val="80A00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E43DB"/>
    <w:multiLevelType w:val="multilevel"/>
    <w:tmpl w:val="E65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2034F"/>
    <w:multiLevelType w:val="multilevel"/>
    <w:tmpl w:val="5EF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00376"/>
    <w:multiLevelType w:val="multilevel"/>
    <w:tmpl w:val="D682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36B7D"/>
    <w:multiLevelType w:val="multilevel"/>
    <w:tmpl w:val="D57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030B9"/>
    <w:multiLevelType w:val="multilevel"/>
    <w:tmpl w:val="E2C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20F68"/>
    <w:multiLevelType w:val="multilevel"/>
    <w:tmpl w:val="7DAC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420A9"/>
    <w:multiLevelType w:val="multilevel"/>
    <w:tmpl w:val="38B6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B346F"/>
    <w:multiLevelType w:val="multilevel"/>
    <w:tmpl w:val="73CA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0D0B03"/>
    <w:multiLevelType w:val="multilevel"/>
    <w:tmpl w:val="54F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06229"/>
    <w:multiLevelType w:val="multilevel"/>
    <w:tmpl w:val="3A38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15C32"/>
    <w:multiLevelType w:val="hybridMultilevel"/>
    <w:tmpl w:val="8D32198A"/>
    <w:lvl w:ilvl="0" w:tplc="C3284F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C6E75"/>
    <w:multiLevelType w:val="multilevel"/>
    <w:tmpl w:val="A33A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C56DCA"/>
    <w:multiLevelType w:val="multilevel"/>
    <w:tmpl w:val="6934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71892">
    <w:abstractNumId w:val="1"/>
  </w:num>
  <w:num w:numId="2" w16cid:durableId="11882711">
    <w:abstractNumId w:val="13"/>
  </w:num>
  <w:num w:numId="3" w16cid:durableId="127019928">
    <w:abstractNumId w:val="16"/>
  </w:num>
  <w:num w:numId="4" w16cid:durableId="1620332052">
    <w:abstractNumId w:val="8"/>
  </w:num>
  <w:num w:numId="5" w16cid:durableId="1013535221">
    <w:abstractNumId w:val="2"/>
  </w:num>
  <w:num w:numId="6" w16cid:durableId="22899280">
    <w:abstractNumId w:val="9"/>
  </w:num>
  <w:num w:numId="7" w16cid:durableId="37291185">
    <w:abstractNumId w:val="7"/>
  </w:num>
  <w:num w:numId="8" w16cid:durableId="579287971">
    <w:abstractNumId w:val="17"/>
  </w:num>
  <w:num w:numId="9" w16cid:durableId="1850291842">
    <w:abstractNumId w:val="15"/>
  </w:num>
  <w:num w:numId="10" w16cid:durableId="1685592271">
    <w:abstractNumId w:val="11"/>
  </w:num>
  <w:num w:numId="11" w16cid:durableId="307589438">
    <w:abstractNumId w:val="18"/>
  </w:num>
  <w:num w:numId="12" w16cid:durableId="1090470592">
    <w:abstractNumId w:val="4"/>
  </w:num>
  <w:num w:numId="13" w16cid:durableId="1791701216">
    <w:abstractNumId w:val="3"/>
  </w:num>
  <w:num w:numId="14" w16cid:durableId="1535540199">
    <w:abstractNumId w:val="10"/>
  </w:num>
  <w:num w:numId="15" w16cid:durableId="1812627019">
    <w:abstractNumId w:val="5"/>
  </w:num>
  <w:num w:numId="16" w16cid:durableId="2073041416">
    <w:abstractNumId w:val="6"/>
  </w:num>
  <w:num w:numId="17" w16cid:durableId="1676306170">
    <w:abstractNumId w:val="14"/>
  </w:num>
  <w:num w:numId="18" w16cid:durableId="50739291">
    <w:abstractNumId w:val="12"/>
  </w:num>
  <w:num w:numId="19" w16cid:durableId="5071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33E94"/>
    <w:rsid w:val="00047F0C"/>
    <w:rsid w:val="00053D12"/>
    <w:rsid w:val="00086CAD"/>
    <w:rsid w:val="00164B6A"/>
    <w:rsid w:val="001A6652"/>
    <w:rsid w:val="001F52F4"/>
    <w:rsid w:val="0022794D"/>
    <w:rsid w:val="002368C8"/>
    <w:rsid w:val="00241EE6"/>
    <w:rsid w:val="002C2764"/>
    <w:rsid w:val="002D3198"/>
    <w:rsid w:val="002D3A14"/>
    <w:rsid w:val="002E072C"/>
    <w:rsid w:val="00306427"/>
    <w:rsid w:val="00323D16"/>
    <w:rsid w:val="00401E6A"/>
    <w:rsid w:val="00404DC8"/>
    <w:rsid w:val="00414261"/>
    <w:rsid w:val="004849A3"/>
    <w:rsid w:val="004A2E50"/>
    <w:rsid w:val="004D3041"/>
    <w:rsid w:val="004E79E2"/>
    <w:rsid w:val="005026FC"/>
    <w:rsid w:val="005140C0"/>
    <w:rsid w:val="005505C5"/>
    <w:rsid w:val="0056690C"/>
    <w:rsid w:val="005922DC"/>
    <w:rsid w:val="005A367D"/>
    <w:rsid w:val="00604200"/>
    <w:rsid w:val="00620997"/>
    <w:rsid w:val="006217CD"/>
    <w:rsid w:val="00632BE2"/>
    <w:rsid w:val="0064078C"/>
    <w:rsid w:val="006B2056"/>
    <w:rsid w:val="006B4A06"/>
    <w:rsid w:val="006D7EC4"/>
    <w:rsid w:val="006E3E0C"/>
    <w:rsid w:val="00706E16"/>
    <w:rsid w:val="0075021B"/>
    <w:rsid w:val="00752072"/>
    <w:rsid w:val="00763395"/>
    <w:rsid w:val="00765BE5"/>
    <w:rsid w:val="007A0EE5"/>
    <w:rsid w:val="007B05A1"/>
    <w:rsid w:val="007B2EFF"/>
    <w:rsid w:val="007B481C"/>
    <w:rsid w:val="007D2BC1"/>
    <w:rsid w:val="007E6035"/>
    <w:rsid w:val="007F3C2C"/>
    <w:rsid w:val="00802ED1"/>
    <w:rsid w:val="00854602"/>
    <w:rsid w:val="008557A0"/>
    <w:rsid w:val="00855D26"/>
    <w:rsid w:val="008D1C12"/>
    <w:rsid w:val="008E27FE"/>
    <w:rsid w:val="008E41E7"/>
    <w:rsid w:val="008F09F4"/>
    <w:rsid w:val="008F4B68"/>
    <w:rsid w:val="00903522"/>
    <w:rsid w:val="009658B3"/>
    <w:rsid w:val="00970AC5"/>
    <w:rsid w:val="009B08F3"/>
    <w:rsid w:val="009B5125"/>
    <w:rsid w:val="009B6DA9"/>
    <w:rsid w:val="009E3F84"/>
    <w:rsid w:val="009F6D7B"/>
    <w:rsid w:val="00A00EB4"/>
    <w:rsid w:val="00A02DF9"/>
    <w:rsid w:val="00A07B9B"/>
    <w:rsid w:val="00A109D1"/>
    <w:rsid w:val="00A14EA0"/>
    <w:rsid w:val="00A25676"/>
    <w:rsid w:val="00A359B5"/>
    <w:rsid w:val="00A60F39"/>
    <w:rsid w:val="00A62D2D"/>
    <w:rsid w:val="00A90D22"/>
    <w:rsid w:val="00A954E1"/>
    <w:rsid w:val="00AB72A3"/>
    <w:rsid w:val="00AF255A"/>
    <w:rsid w:val="00AF4729"/>
    <w:rsid w:val="00AF7F11"/>
    <w:rsid w:val="00B360FA"/>
    <w:rsid w:val="00B4665D"/>
    <w:rsid w:val="00BA30A3"/>
    <w:rsid w:val="00BB01F4"/>
    <w:rsid w:val="00BB4733"/>
    <w:rsid w:val="00BD2F16"/>
    <w:rsid w:val="00C327A0"/>
    <w:rsid w:val="00C37CC1"/>
    <w:rsid w:val="00C60AED"/>
    <w:rsid w:val="00C922C9"/>
    <w:rsid w:val="00D14164"/>
    <w:rsid w:val="00D20B09"/>
    <w:rsid w:val="00D30110"/>
    <w:rsid w:val="00DD4A56"/>
    <w:rsid w:val="00DE479C"/>
    <w:rsid w:val="00E15B8A"/>
    <w:rsid w:val="00E21277"/>
    <w:rsid w:val="00E23314"/>
    <w:rsid w:val="00E43FC6"/>
    <w:rsid w:val="00E9501C"/>
    <w:rsid w:val="00ED7A2B"/>
    <w:rsid w:val="00EE5DE5"/>
    <w:rsid w:val="00F35C7D"/>
    <w:rsid w:val="00F433DC"/>
    <w:rsid w:val="00F65D82"/>
    <w:rsid w:val="00FB03A4"/>
    <w:rsid w:val="00FB7023"/>
    <w:rsid w:val="00FB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42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B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guzman@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9</cp:revision>
  <dcterms:created xsi:type="dcterms:W3CDTF">2026-02-04T20:43:00Z</dcterms:created>
  <dcterms:modified xsi:type="dcterms:W3CDTF">2026-02-09T10:28:00Z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